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20C6A">
      <w:pPr>
        <w:jc w:val="both"/>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附件二：</w:t>
      </w:r>
    </w:p>
    <w:p w14:paraId="1A66733D">
      <w:pPr>
        <w:jc w:val="center"/>
        <w:rPr>
          <w:rFonts w:hint="eastAsia" w:ascii="宋体" w:hAnsi="宋体" w:eastAsia="宋体" w:cs="宋体"/>
          <w:b/>
          <w:bCs/>
          <w:sz w:val="40"/>
          <w:szCs w:val="40"/>
        </w:rPr>
      </w:pPr>
    </w:p>
    <w:p w14:paraId="5F53E0C8">
      <w:pPr>
        <w:jc w:val="center"/>
        <w:rPr>
          <w:rFonts w:hint="eastAsia" w:ascii="宋体" w:hAnsi="宋体" w:eastAsia="宋体" w:cs="宋体"/>
          <w:b/>
          <w:bCs/>
          <w:sz w:val="40"/>
          <w:szCs w:val="40"/>
        </w:rPr>
      </w:pPr>
      <w:r>
        <w:rPr>
          <w:rFonts w:hint="eastAsia" w:ascii="宋体" w:hAnsi="宋体" w:eastAsia="宋体" w:cs="宋体"/>
          <w:b/>
          <w:bCs/>
          <w:sz w:val="40"/>
          <w:szCs w:val="40"/>
        </w:rPr>
        <w:t>洛阳市轨道交通集团有限责任公司刘富村车辆段职工食堂操作间燃气改电力工程项目</w:t>
      </w:r>
    </w:p>
    <w:p w14:paraId="4C0EEACA">
      <w:pPr>
        <w:jc w:val="center"/>
        <w:rPr>
          <w:rFonts w:hint="eastAsia" w:ascii="宋体" w:hAnsi="宋体" w:eastAsia="宋体" w:cs="宋体"/>
          <w:b/>
          <w:bCs/>
          <w:sz w:val="40"/>
          <w:szCs w:val="40"/>
        </w:rPr>
      </w:pPr>
      <w:r>
        <w:rPr>
          <w:rFonts w:hint="eastAsia" w:ascii="宋体" w:hAnsi="宋体" w:eastAsia="宋体" w:cs="宋体"/>
          <w:b/>
          <w:bCs/>
          <w:sz w:val="40"/>
          <w:szCs w:val="40"/>
        </w:rPr>
        <w:t>评审方法</w:t>
      </w:r>
    </w:p>
    <w:p w14:paraId="6B43DD54">
      <w:pPr>
        <w:bidi w:val="0"/>
        <w:rPr>
          <w:rFonts w:hint="eastAsia" w:asciiTheme="minorHAnsi" w:hAnsiTheme="minorHAnsi" w:eastAsiaTheme="minorEastAsia" w:cstheme="minorBidi"/>
          <w:kern w:val="2"/>
          <w:sz w:val="21"/>
          <w:szCs w:val="24"/>
          <w:lang w:val="en-US" w:eastAsia="zh-CN" w:bidi="ar-SA"/>
        </w:rPr>
      </w:pPr>
    </w:p>
    <w:p w14:paraId="1B97B7E5">
      <w:pPr>
        <w:pStyle w:val="3"/>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2"/>
        <w:textAlignment w:val="auto"/>
        <w:rPr>
          <w:rFonts w:hint="eastAsia" w:ascii="Times New Roman" w:hAnsi="Times New Roman" w:eastAsia="宋体" w:cs="宋体"/>
          <w:kern w:val="0"/>
          <w:sz w:val="21"/>
          <w:szCs w:val="21"/>
          <w:lang w:val="en-US" w:eastAsia="zh-CN"/>
        </w:rPr>
      </w:pPr>
      <w:r>
        <w:rPr>
          <w:rFonts w:hint="default" w:ascii="宋体" w:hAnsi="宋体" w:eastAsia="宋体" w:cs="宋体"/>
          <w:sz w:val="21"/>
          <w:szCs w:val="21"/>
          <w:highlight w:val="none"/>
          <w:lang w:val="en-US" w:eastAsia="zh-CN"/>
        </w:rPr>
        <w:t>本项目报价文件的评审采用</w:t>
      </w:r>
      <w:r>
        <w:rPr>
          <w:rFonts w:hint="default" w:ascii="宋体" w:hAnsi="宋体" w:eastAsia="宋体" w:cs="宋体"/>
          <w:sz w:val="21"/>
          <w:szCs w:val="21"/>
          <w:highlight w:val="none"/>
          <w:lang w:val="zh-CN" w:eastAsia="zh-CN"/>
        </w:rPr>
        <w:t>综合评分法</w:t>
      </w:r>
      <w:r>
        <w:rPr>
          <w:rFonts w:hint="eastAsia" w:ascii="宋体" w:hAnsi="宋体" w:eastAsia="宋体" w:cs="宋体"/>
          <w:sz w:val="21"/>
          <w:szCs w:val="21"/>
          <w:highlight w:val="none"/>
          <w:lang w:val="zh-CN" w:eastAsia="zh-CN"/>
        </w:rPr>
        <w:t>，</w:t>
      </w:r>
      <w:r>
        <w:rPr>
          <w:rFonts w:hint="default" w:ascii="宋体" w:hAnsi="宋体" w:eastAsia="宋体" w:cs="宋体"/>
          <w:sz w:val="21"/>
          <w:szCs w:val="21"/>
          <w:highlight w:val="none"/>
          <w:lang w:val="zh-CN" w:eastAsia="zh-CN"/>
        </w:rPr>
        <w:t>按照</w:t>
      </w:r>
      <w:r>
        <w:rPr>
          <w:rFonts w:hint="default" w:ascii="宋体" w:hAnsi="宋体" w:eastAsia="宋体" w:cs="宋体"/>
          <w:sz w:val="21"/>
          <w:szCs w:val="21"/>
          <w:highlight w:val="none"/>
          <w:lang w:val="en-US" w:eastAsia="zh-CN"/>
        </w:rPr>
        <w:t>综合评分表</w:t>
      </w:r>
      <w:r>
        <w:rPr>
          <w:rFonts w:hint="default" w:ascii="宋体" w:hAnsi="宋体" w:eastAsia="宋体" w:cs="宋体"/>
          <w:sz w:val="21"/>
          <w:szCs w:val="21"/>
          <w:highlight w:val="none"/>
          <w:lang w:val="zh-CN" w:eastAsia="zh-CN"/>
        </w:rPr>
        <w:t>中规定的各项评</w:t>
      </w:r>
      <w:r>
        <w:rPr>
          <w:rFonts w:hint="default" w:ascii="宋体" w:hAnsi="宋体" w:eastAsia="宋体" w:cs="宋体"/>
          <w:sz w:val="21"/>
          <w:szCs w:val="21"/>
          <w:highlight w:val="none"/>
          <w:lang w:val="en-US" w:eastAsia="zh-CN"/>
        </w:rPr>
        <w:t>分</w:t>
      </w:r>
      <w:r>
        <w:rPr>
          <w:rFonts w:hint="default" w:ascii="宋体" w:hAnsi="宋体" w:eastAsia="宋体" w:cs="宋体"/>
          <w:sz w:val="21"/>
          <w:szCs w:val="21"/>
          <w:highlight w:val="none"/>
          <w:lang w:val="zh-CN" w:eastAsia="zh-CN"/>
        </w:rPr>
        <w:t>因素和</w:t>
      </w:r>
      <w:r>
        <w:rPr>
          <w:rFonts w:hint="default" w:ascii="宋体" w:hAnsi="宋体" w:eastAsia="宋体" w:cs="宋体"/>
          <w:sz w:val="21"/>
          <w:szCs w:val="21"/>
          <w:highlight w:val="none"/>
          <w:lang w:val="en-US" w:eastAsia="zh-CN"/>
        </w:rPr>
        <w:t>标准</w:t>
      </w:r>
      <w:r>
        <w:rPr>
          <w:rFonts w:hint="default" w:ascii="宋体" w:hAnsi="宋体" w:eastAsia="宋体" w:cs="宋体"/>
          <w:sz w:val="21"/>
          <w:szCs w:val="21"/>
          <w:highlight w:val="none"/>
          <w:lang w:val="zh-CN" w:eastAsia="zh-CN"/>
        </w:rPr>
        <w:t>对</w:t>
      </w:r>
      <w:r>
        <w:rPr>
          <w:rFonts w:hint="default" w:ascii="宋体" w:hAnsi="宋体" w:eastAsia="宋体" w:cs="宋体"/>
          <w:sz w:val="21"/>
          <w:szCs w:val="21"/>
          <w:highlight w:val="none"/>
          <w:lang w:val="en-US" w:eastAsia="zh-CN"/>
        </w:rPr>
        <w:t>报价</w:t>
      </w:r>
      <w:r>
        <w:rPr>
          <w:rFonts w:hint="default" w:ascii="宋体" w:hAnsi="宋体" w:eastAsia="宋体" w:cs="宋体"/>
          <w:sz w:val="21"/>
          <w:szCs w:val="21"/>
          <w:highlight w:val="none"/>
          <w:lang w:val="zh-CN" w:eastAsia="zh-CN"/>
        </w:rPr>
        <w:t>文件进行评分后，依据</w:t>
      </w:r>
      <w:r>
        <w:rPr>
          <w:rFonts w:hint="eastAsia" w:ascii="宋体" w:hAnsi="宋体" w:eastAsia="宋体" w:cs="宋体"/>
          <w:sz w:val="21"/>
          <w:szCs w:val="21"/>
          <w:highlight w:val="none"/>
          <w:lang w:val="en-US" w:eastAsia="zh-CN"/>
        </w:rPr>
        <w:t>供应商</w:t>
      </w:r>
      <w:r>
        <w:rPr>
          <w:rFonts w:hint="default" w:ascii="宋体" w:hAnsi="宋体" w:eastAsia="宋体" w:cs="宋体"/>
          <w:sz w:val="21"/>
          <w:szCs w:val="21"/>
          <w:highlight w:val="none"/>
          <w:lang w:val="zh-CN" w:eastAsia="zh-CN"/>
        </w:rPr>
        <w:t>综合得分由高到低的顺序</w:t>
      </w:r>
      <w:r>
        <w:rPr>
          <w:rFonts w:hint="eastAsia" w:ascii="宋体" w:hAnsi="宋体" w:eastAsia="宋体" w:cs="宋体"/>
          <w:sz w:val="21"/>
          <w:szCs w:val="21"/>
          <w:highlight w:val="none"/>
          <w:lang w:val="en-US" w:eastAsia="zh-CN"/>
        </w:rPr>
        <w:t>推荐</w:t>
      </w:r>
      <w:r>
        <w:rPr>
          <w:rFonts w:hint="default" w:ascii="宋体" w:hAnsi="宋体" w:eastAsia="宋体" w:cs="宋体"/>
          <w:sz w:val="21"/>
          <w:szCs w:val="21"/>
          <w:highlight w:val="none"/>
          <w:lang w:val="en-US" w:eastAsia="zh-CN"/>
        </w:rPr>
        <w:t>成交候选人。</w:t>
      </w:r>
      <w:r>
        <w:rPr>
          <w:rFonts w:hint="eastAsia" w:ascii="Times New Roman" w:hAnsi="Times New Roman" w:eastAsia="宋体" w:cs="宋体"/>
          <w:kern w:val="0"/>
          <w:sz w:val="21"/>
          <w:szCs w:val="21"/>
          <w:lang w:val="en-US" w:eastAsia="zh-CN"/>
        </w:rPr>
        <w:t>各项分值设置如下：</w:t>
      </w:r>
    </w:p>
    <w:p w14:paraId="497E5718">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一、投标报价（50 分）</w:t>
      </w:r>
    </w:p>
    <w:p w14:paraId="270B3B95">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以有效响应文件中的最低报价为评标基准价，报价得分 ：报价最低者50分，第二低者45分，第三低者40分……，以此类推，报价高于项目最高限价</w:t>
      </w:r>
      <w:r>
        <w:rPr>
          <w:rFonts w:hint="eastAsia" w:ascii="Times New Roman" w:hAnsi="Times New Roman" w:eastAsia="宋体" w:cs="宋体"/>
          <w:kern w:val="0"/>
          <w:sz w:val="21"/>
          <w:szCs w:val="21"/>
          <w:highlight w:val="none"/>
          <w:lang w:val="en-US" w:eastAsia="zh-CN"/>
        </w:rPr>
        <w:t>180981.16（不含税）</w:t>
      </w:r>
      <w:r>
        <w:rPr>
          <w:rFonts w:hint="eastAsia" w:ascii="Times New Roman" w:hAnsi="Times New Roman" w:eastAsia="宋体" w:cs="宋体"/>
          <w:kern w:val="0"/>
          <w:sz w:val="21"/>
          <w:szCs w:val="21"/>
          <w:lang w:val="en-US" w:eastAsia="zh-CN"/>
        </w:rPr>
        <w:t>元，视为无效响应，按无效处理；报价存在明显低于市场成本、恶意低价的，评审小组有权进行质询，无法提供合理成本说明的，予以扣分或作废标处理。</w:t>
      </w:r>
    </w:p>
    <w:p w14:paraId="6D23CFF4">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二、施工组织及技术方案（25 分）</w:t>
      </w:r>
    </w:p>
    <w:p w14:paraId="5BA5C7FF">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 xml:space="preserve">（1）施工总体方案（8 </w:t>
      </w:r>
      <w:bookmarkStart w:id="0" w:name="_GoBack"/>
      <w:bookmarkEnd w:id="0"/>
      <w:r>
        <w:rPr>
          <w:rFonts w:hint="eastAsia" w:ascii="Times New Roman" w:hAnsi="Times New Roman" w:eastAsia="宋体" w:cs="宋体"/>
          <w:kern w:val="0"/>
          <w:sz w:val="21"/>
          <w:szCs w:val="21"/>
          <w:lang w:val="en-US" w:eastAsia="zh-CN"/>
        </w:rPr>
        <w:t>分）：对现场拆除、电路扩容、厨具安装、系统调试流程规划完整，错峰施工方案合理，可保障职工正常就餐，措施完善得满分；方案简略、未考虑就餐保障酌情扣 2-8 分。</w:t>
      </w:r>
    </w:p>
    <w:p w14:paraId="7BE7B78D">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（2）电气安全施工保障措施（7 分）：具备完整用电安全、防火防爆、临时用电防护方案，电缆敷设、配电安装符合规范得满分；安全措施缺失酌情扣分。</w:t>
      </w:r>
    </w:p>
    <w:p w14:paraId="28A0A631">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（3）工期保障方案（5 分）：明确 7-9 天总工期管控措施、人员配置、进度节点计划，2 天临时供餐保障方案详实得满分。</w:t>
      </w:r>
    </w:p>
    <w:p w14:paraId="10216AE6">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（4）现场文明施工及成品保护（5 分）：垃圾清运、场地防护、厨具成品保护、降噪防尘措施完善得满分。</w:t>
      </w:r>
    </w:p>
    <w:p w14:paraId="1F02525D">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三、企业业绩实力（5 分）</w:t>
      </w:r>
    </w:p>
    <w:p w14:paraId="04C754ED">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供应商</w:t>
      </w:r>
      <w:r>
        <w:rPr>
          <w:rFonts w:hint="eastAsia" w:ascii="宋体" w:hAnsi="宋体" w:eastAsia="宋体" w:cs="宋体"/>
          <w:szCs w:val="21"/>
          <w:highlight w:val="none"/>
          <w:lang w:val="en-US" w:eastAsia="zh-CN"/>
        </w:rPr>
        <w:t>近两年（合同签订时间在2024年7月1日起至</w:t>
      </w:r>
      <w:r>
        <w:rPr>
          <w:rFonts w:hint="default" w:ascii="宋体" w:hAnsi="宋体" w:eastAsia="宋体" w:cs="宋体"/>
          <w:szCs w:val="21"/>
          <w:highlight w:val="none"/>
          <w:lang w:val="en-US" w:eastAsia="en-US"/>
        </w:rPr>
        <w:t>招标公告发布之日止</w:t>
      </w:r>
      <w:r>
        <w:rPr>
          <w:rFonts w:hint="eastAsia" w:ascii="宋体" w:hAnsi="宋体" w:eastAsia="宋体" w:cs="宋体"/>
          <w:szCs w:val="21"/>
          <w:highlight w:val="none"/>
          <w:lang w:val="en-US" w:eastAsia="zh-CN"/>
        </w:rPr>
        <w:t>）类似项目业绩</w:t>
      </w:r>
      <w:r>
        <w:rPr>
          <w:rFonts w:hint="eastAsia" w:ascii="Times New Roman" w:hAnsi="Times New Roman" w:eastAsia="宋体" w:cs="宋体"/>
          <w:kern w:val="0"/>
          <w:sz w:val="21"/>
          <w:szCs w:val="21"/>
          <w:lang w:val="en-US" w:eastAsia="zh-CN"/>
        </w:rPr>
        <w:t>，提供 1 份完整合同（含合同页、验收证明）得5 分，无类似业绩不得分。</w:t>
      </w:r>
    </w:p>
    <w:p w14:paraId="74EA571B">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四、设备品质及资质（12 分）</w:t>
      </w:r>
    </w:p>
    <w:p w14:paraId="3FAA36A5">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所投电磁灶具提供有效的 3C 认证、型式检验报告，全部齐全得 6 分，缺一项扣 3 分；电缆、断路器、配电箱等配电辅材提供原厂合格证、检测报告得 6 分，材料资质不全酌情扣分。</w:t>
      </w:r>
    </w:p>
    <w:p w14:paraId="3707D94B">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五、售后服务及质保方案（8 分）</w:t>
      </w:r>
    </w:p>
    <w:p w14:paraId="1B06B725">
      <w:pPr>
        <w:spacing w:line="360" w:lineRule="auto"/>
        <w:ind w:firstLine="420" w:firstLineChars="200"/>
        <w:jc w:val="left"/>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整体质保 1 年基础上，承诺延长核心灶具、配电设备质保期限，每延长半年加 2 分，最高 4 分；本地售后维修网点、24 小时应急抢修响应机制、故障上门维修时效清晰得 4 分；无本地售后网点酌情扣分。</w:t>
      </w:r>
    </w:p>
    <w:p w14:paraId="23CAB3EF">
      <w:pPr>
        <w:tabs>
          <w:tab w:val="left" w:pos="1056"/>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325F"/>
    <w:rsid w:val="08734A2E"/>
    <w:rsid w:val="1D2D390A"/>
    <w:rsid w:val="50A8054F"/>
    <w:rsid w:val="71C32B0E"/>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808</Words>
  <Characters>828</Characters>
  <Lines>0</Lines>
  <Paragraphs>0</Paragraphs>
  <TotalTime>1</TotalTime>
  <ScaleCrop>false</ScaleCrop>
  <LinksUpToDate>false</LinksUpToDate>
  <CharactersWithSpaces>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2026-06-26T01:34:00Z</dcterms:created>
  <dc:creator>Lenovo</dc:creator>
  <cp:lastModifiedBy>执笔、画浮生</cp:lastModifiedBy>
  <dcterms:modified xsi:type="dcterms:W3CDTF">2026-06-26T02:37:35Z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eyJoZGlkIjoiMzg3ZjRmNmRhNzE0NTI1NzA5NWE0ZTk4NmY1M2JkNDIiLCJ1c2VySWQiOiIxMTQ4MDc3MjY1In0=</vt:lpwstr>
  </property>
  <property fmtid="{D5CDD505-2E9C-101B-9397-08002B2CF9AE}" pid="4" name="ICV">
    <vt:lpwstr>090C7A7F0EA5433A9956C9E79FD4CCA8_12</vt:lpwstr>
  </property>
</Properties>
</file>