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spacing w:before="78" w:line="215" w:lineRule="auto"/>
        <w:rPr>
          <w:rFonts w:hint="default" w:ascii="仿宋_GB2312" w:hAnsi="仿宋_GB2312" w:eastAsia="仿宋_GB2312" w:cs="仿宋_GB2312"/>
          <w:spacing w:val="-8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pacing w:val="-8"/>
          <w:sz w:val="32"/>
          <w:szCs w:val="32"/>
          <w:lang w:val="en-US" w:eastAsia="zh-CN"/>
        </w:rPr>
        <w:t>附件1：</w:t>
      </w:r>
    </w:p>
    <w:p>
      <w:pPr>
        <w:jc w:val="center"/>
        <w:rPr>
          <w:rFonts w:hint="eastAsia" w:ascii="微软雅黑" w:hAnsi="微软雅黑" w:eastAsia="微软雅黑" w:cs="微软雅黑"/>
          <w:sz w:val="36"/>
          <w:szCs w:val="36"/>
          <w:lang w:eastAsia="zh-CN"/>
        </w:rPr>
      </w:pPr>
    </w:p>
    <w:p>
      <w:pPr>
        <w:jc w:val="center"/>
        <w:rPr>
          <w:rFonts w:hint="eastAsia" w:ascii="微软雅黑" w:hAnsi="微软雅黑" w:eastAsia="微软雅黑" w:cs="微软雅黑"/>
          <w:sz w:val="36"/>
          <w:szCs w:val="36"/>
          <w:lang w:eastAsia="zh-CN"/>
        </w:rPr>
      </w:pPr>
      <w:r>
        <w:rPr>
          <w:rFonts w:hint="eastAsia" w:ascii="微软雅黑" w:hAnsi="微软雅黑" w:eastAsia="微软雅黑" w:cs="微软雅黑"/>
          <w:sz w:val="36"/>
          <w:szCs w:val="36"/>
          <w:lang w:eastAsia="zh-CN"/>
        </w:rPr>
        <w:t>洛阳轨道物业管理有限公司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eastAsia" w:ascii="微软雅黑" w:hAnsi="微软雅黑" w:eastAsia="微软雅黑" w:cs="微软雅黑"/>
          <w:sz w:val="36"/>
          <w:szCs w:val="36"/>
          <w:lang w:eastAsia="zh-CN"/>
        </w:rPr>
      </w:pPr>
      <w:r>
        <w:rPr>
          <w:rFonts w:hint="eastAsia" w:ascii="微软雅黑" w:hAnsi="微软雅黑" w:eastAsia="微软雅黑" w:cs="微软雅黑"/>
          <w:sz w:val="36"/>
          <w:szCs w:val="36"/>
          <w:lang w:eastAsia="zh-CN"/>
        </w:rPr>
        <w:t>2025年度清洁服务招标项目</w:t>
      </w:r>
      <w:r>
        <w:rPr>
          <w:rFonts w:hint="eastAsia" w:ascii="微软雅黑" w:hAnsi="微软雅黑" w:eastAsia="微软雅黑" w:cs="微软雅黑"/>
          <w:sz w:val="36"/>
          <w:szCs w:val="36"/>
          <w:lang w:val="en-US" w:eastAsia="zh-CN"/>
        </w:rPr>
        <w:t>01标段</w:t>
      </w:r>
      <w:r>
        <w:rPr>
          <w:rFonts w:hint="eastAsia" w:ascii="微软雅黑" w:hAnsi="微软雅黑" w:eastAsia="微软雅黑" w:cs="微软雅黑"/>
          <w:sz w:val="36"/>
          <w:szCs w:val="36"/>
          <w:lang w:eastAsia="zh-CN"/>
        </w:rPr>
        <w:t>用户需求书</w:t>
      </w:r>
    </w:p>
    <w:p>
      <w:pPr>
        <w:numPr>
          <w:ilvl w:val="0"/>
          <w:numId w:val="1"/>
        </w:numPr>
        <w:jc w:val="left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项目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概况</w:t>
      </w:r>
    </w:p>
    <w:p>
      <w:pPr>
        <w:numPr>
          <w:ilvl w:val="0"/>
          <w:numId w:val="0"/>
        </w:numPr>
        <w:spacing w:before="78" w:line="215" w:lineRule="auto"/>
        <w:ind w:firstLine="608" w:firstLineChars="200"/>
        <w:rPr>
          <w:rFonts w:hint="eastAsia" w:ascii="仿宋_GB2312" w:hAnsi="仿宋_GB2312" w:eastAsia="仿宋_GB2312" w:cs="仿宋_GB2312"/>
          <w:spacing w:val="-4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8"/>
          <w:sz w:val="32"/>
          <w:szCs w:val="32"/>
        </w:rPr>
        <w:t>本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项目为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洛阳轨道物业管理有限公司2025年度清洁服务招标项目01标段，为洛阳轨道物业管理有限公司下辖各物业项目提供垃圾清运服务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highlight w:val="none"/>
          <w:lang w:val="en-US" w:eastAsia="zh-CN"/>
        </w:rPr>
        <w:t>。</w:t>
      </w:r>
    </w:p>
    <w:p>
      <w:pPr>
        <w:numPr>
          <w:ilvl w:val="0"/>
          <w:numId w:val="1"/>
        </w:numPr>
        <w:spacing w:before="78" w:line="215" w:lineRule="auto"/>
        <w:ind w:left="0" w:leftChars="0" w:firstLine="0" w:firstLineChars="0"/>
        <w:rPr>
          <w:rFonts w:hint="eastAsia" w:ascii="仿宋_GB2312" w:hAnsi="仿宋_GB2312" w:eastAsia="仿宋_GB2312" w:cs="仿宋_GB2312"/>
          <w:b/>
          <w:bCs/>
          <w:spacing w:val="-4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-4"/>
          <w:sz w:val="32"/>
          <w:szCs w:val="32"/>
          <w:lang w:eastAsia="zh-CN"/>
        </w:rPr>
        <w:t>服务期限</w:t>
      </w:r>
    </w:p>
    <w:p>
      <w:pPr>
        <w:numPr>
          <w:ilvl w:val="0"/>
          <w:numId w:val="0"/>
        </w:numPr>
        <w:spacing w:before="78" w:line="215" w:lineRule="auto"/>
        <w:ind w:firstLine="624" w:firstLineChars="200"/>
        <w:rPr>
          <w:rFonts w:hint="eastAsia" w:ascii="仿宋_GB2312" w:hAnsi="仿宋_GB2312" w:eastAsia="仿宋_GB2312" w:cs="仿宋_GB2312"/>
          <w:spacing w:val="-4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4"/>
          <w:sz w:val="32"/>
          <w:szCs w:val="32"/>
          <w:highlight w:val="none"/>
          <w:lang w:val="en-US" w:eastAsia="zh-CN"/>
        </w:rPr>
        <w:t>18个月，具体起始时间以甲方下发的入场通知书为准。</w:t>
      </w:r>
    </w:p>
    <w:p>
      <w:pPr>
        <w:numPr>
          <w:ilvl w:val="0"/>
          <w:numId w:val="1"/>
        </w:numPr>
        <w:spacing w:before="78" w:line="215" w:lineRule="auto"/>
        <w:ind w:left="0" w:leftChars="0" w:firstLine="0" w:firstLineChars="0"/>
        <w:rPr>
          <w:rFonts w:hint="eastAsia" w:ascii="仿宋_GB2312" w:hAnsi="仿宋_GB2312" w:eastAsia="仿宋_GB2312" w:cs="仿宋_GB2312"/>
          <w:b/>
          <w:bCs/>
          <w:spacing w:val="-4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-4"/>
          <w:sz w:val="32"/>
          <w:szCs w:val="32"/>
          <w:lang w:val="en-US" w:eastAsia="zh-CN"/>
        </w:rPr>
        <w:t>资格要求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78" w:line="600" w:lineRule="exact"/>
        <w:ind w:left="0" w:leftChars="0" w:firstLine="624" w:firstLineChars="200"/>
        <w:textAlignment w:val="auto"/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4"/>
          <w:kern w:val="2"/>
          <w:sz w:val="32"/>
          <w:szCs w:val="32"/>
          <w:lang w:val="en-US" w:eastAsia="zh-CN" w:bidi="ar-SA"/>
        </w:rPr>
        <w:t>1、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满足《中华人民共和国政府采购法》第二十二条规定；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78" w:line="600" w:lineRule="exact"/>
        <w:ind w:left="0" w:leftChars="0" w:firstLine="624" w:firstLineChars="200"/>
        <w:textAlignment w:val="auto"/>
        <w:rPr>
          <w:rFonts w:hint="default" w:ascii="仿宋_GB2312" w:hAnsi="仿宋_GB2312" w:eastAsia="仿宋_GB2312" w:cs="仿宋_GB2312"/>
          <w:spacing w:val="-4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spacing w:val="-4"/>
          <w:kern w:val="2"/>
          <w:sz w:val="32"/>
          <w:szCs w:val="32"/>
          <w:lang w:val="en-US" w:eastAsia="zh-CN" w:bidi="ar-SA"/>
        </w:rPr>
        <w:t>2、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highlight w:val="none"/>
          <w:lang w:val="en-US" w:eastAsia="zh-CN"/>
        </w:rPr>
        <w:t>落实政府采购政策满足的资格要求：面向中小微企业采购。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78" w:line="600" w:lineRule="exact"/>
        <w:ind w:left="0" w:leftChars="0" w:firstLine="624" w:firstLineChars="200"/>
        <w:textAlignment w:val="auto"/>
        <w:rPr>
          <w:rFonts w:hint="default" w:ascii="仿宋_GB2312" w:hAnsi="仿宋_GB2312" w:eastAsia="仿宋_GB2312" w:cs="仿宋_GB2312"/>
          <w:spacing w:val="-4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pacing w:val="-4"/>
          <w:kern w:val="2"/>
          <w:sz w:val="32"/>
          <w:szCs w:val="32"/>
          <w:lang w:val="en-US" w:eastAsia="zh-CN" w:bidi="ar-SA"/>
        </w:rPr>
        <w:t>3、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具有城市管理部门办法的有效的《洛阳市城市生活垃圾经营性清扫、收集、运输、处理服务许可证》或《洛阳市城市生活垃圾经营性处理服务许可证》。</w:t>
      </w:r>
    </w:p>
    <w:p>
      <w:pPr>
        <w:numPr>
          <w:ilvl w:val="0"/>
          <w:numId w:val="1"/>
        </w:numPr>
        <w:ind w:left="0" w:leftChars="0" w:firstLine="0" w:firstLineChars="0"/>
        <w:jc w:val="left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项目概况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27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spacing w:val="-4"/>
          <w:kern w:val="2"/>
          <w:sz w:val="32"/>
          <w:szCs w:val="32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27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spacing w:val="-4"/>
          <w:kern w:val="2"/>
          <w:sz w:val="32"/>
          <w:szCs w:val="32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27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spacing w:val="-4"/>
          <w:kern w:val="2"/>
          <w:sz w:val="32"/>
          <w:szCs w:val="32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27" w:firstLineChars="200"/>
        <w:jc w:val="left"/>
        <w:textAlignment w:val="auto"/>
        <w:rPr>
          <w:rFonts w:hint="default" w:ascii="仿宋_GB2312" w:hAnsi="仿宋_GB2312" w:eastAsia="仿宋_GB2312" w:cs="仿宋_GB2312"/>
          <w:b/>
          <w:bCs/>
          <w:spacing w:val="-4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spacing w:val="-4"/>
          <w:kern w:val="2"/>
          <w:sz w:val="32"/>
          <w:szCs w:val="32"/>
          <w:lang w:val="en-US" w:eastAsia="zh-CN" w:bidi="ar-SA"/>
        </w:rPr>
        <w:t>1.生活垃圾</w:t>
      </w:r>
    </w:p>
    <w:tbl>
      <w:tblPr>
        <w:tblStyle w:val="9"/>
        <w:tblW w:w="5107" w:type="pct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31"/>
        <w:gridCol w:w="1354"/>
        <w:gridCol w:w="2116"/>
        <w:gridCol w:w="2417"/>
        <w:gridCol w:w="188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</w:trPr>
        <w:tc>
          <w:tcPr>
            <w:tcW w:w="43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  <w14:textOutline w14:w="3537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序号</w:t>
            </w:r>
          </w:p>
        </w:tc>
        <w:tc>
          <w:tcPr>
            <w:tcW w:w="79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202" w:line="227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eastAsia="zh-CN"/>
                <w14:textOutline w14:w="3537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项目</w:t>
            </w: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14:textOutline w14:w="3537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名称</w:t>
            </w:r>
          </w:p>
        </w:tc>
        <w:tc>
          <w:tcPr>
            <w:tcW w:w="124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203" w:line="225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8"/>
                <w:szCs w:val="28"/>
                <w:highlight w:val="none"/>
                <w14:textOutline w14:w="3537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所在位置</w:t>
            </w:r>
          </w:p>
        </w:tc>
        <w:tc>
          <w:tcPr>
            <w:tcW w:w="1421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203" w:line="225" w:lineRule="auto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8"/>
                <w:szCs w:val="28"/>
                <w:highlight w:val="none"/>
                <w:lang w:val="en-US" w:eastAsia="zh-CN"/>
                <w14:textOutline w14:w="3537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每日垃圾预计桶数（240L/桶）</w:t>
            </w:r>
          </w:p>
        </w:tc>
        <w:tc>
          <w:tcPr>
            <w:tcW w:w="110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203" w:line="225" w:lineRule="auto"/>
              <w:jc w:val="center"/>
              <w:rPr>
                <w:rFonts w:hint="default" w:ascii="仿宋_GB2312" w:hAnsi="仿宋_GB2312" w:eastAsia="仿宋_GB2312" w:cs="仿宋_GB2312"/>
                <w:spacing w:val="8"/>
                <w:sz w:val="28"/>
                <w:szCs w:val="28"/>
                <w:highlight w:val="none"/>
                <w:lang w:val="en-US" w:eastAsia="zh-CN"/>
                <w14:textOutline w14:w="3537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28"/>
                <w:szCs w:val="28"/>
                <w:highlight w:val="none"/>
                <w:lang w:val="en-US" w:eastAsia="zh-CN"/>
                <w14:textOutline w14:w="3537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业态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6" w:hRule="atLeast"/>
        </w:trPr>
        <w:tc>
          <w:tcPr>
            <w:tcW w:w="43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277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277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</w:p>
          <w:p>
            <w:pPr>
              <w:spacing w:before="62" w:line="187" w:lineRule="auto"/>
              <w:ind w:left="264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9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235" w:line="226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洛阳轨道交通控制中心</w:t>
            </w:r>
          </w:p>
        </w:tc>
        <w:tc>
          <w:tcPr>
            <w:tcW w:w="124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62" w:line="224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8"/>
                <w:sz w:val="28"/>
                <w:szCs w:val="28"/>
                <w:highlight w:val="none"/>
                <w:lang w:eastAsia="zh-CN"/>
              </w:rPr>
              <w:t>洛阳市洛龙区通衢路</w:t>
            </w:r>
            <w:r>
              <w:rPr>
                <w:rFonts w:hint="eastAsia" w:ascii="仿宋_GB2312" w:hAnsi="仿宋_GB2312" w:eastAsia="仿宋_GB2312" w:cs="仿宋_GB2312"/>
                <w:spacing w:val="-18"/>
                <w:sz w:val="28"/>
                <w:szCs w:val="28"/>
                <w:highlight w:val="none"/>
                <w:lang w:val="en-US" w:eastAsia="zh-CN"/>
              </w:rPr>
              <w:t>207号</w:t>
            </w:r>
          </w:p>
        </w:tc>
        <w:tc>
          <w:tcPr>
            <w:tcW w:w="1421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62" w:line="186" w:lineRule="auto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约7桶</w:t>
            </w:r>
          </w:p>
        </w:tc>
        <w:tc>
          <w:tcPr>
            <w:tcW w:w="110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62" w:line="186" w:lineRule="auto"/>
              <w:ind w:left="299"/>
              <w:jc w:val="center"/>
              <w:rPr>
                <w:rFonts w:hint="default" w:ascii="仿宋_GB2312" w:hAnsi="仿宋_GB2312" w:eastAsia="仿宋_GB2312" w:cs="仿宋_GB2312"/>
                <w:spacing w:val="-8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8"/>
                <w:szCs w:val="28"/>
                <w:highlight w:val="none"/>
                <w:lang w:val="en-US" w:eastAsia="zh-CN"/>
              </w:rPr>
              <w:t>办公园区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6" w:hRule="atLeast"/>
        </w:trPr>
        <w:tc>
          <w:tcPr>
            <w:tcW w:w="43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62" w:line="187" w:lineRule="auto"/>
              <w:ind w:left="264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79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235" w:line="226" w:lineRule="auto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红山车辆段</w:t>
            </w:r>
          </w:p>
        </w:tc>
        <w:tc>
          <w:tcPr>
            <w:tcW w:w="124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62" w:line="224" w:lineRule="auto"/>
              <w:jc w:val="center"/>
              <w:rPr>
                <w:rFonts w:hint="eastAsia" w:ascii="仿宋_GB2312" w:hAnsi="仿宋_GB2312" w:eastAsia="仿宋_GB2312" w:cs="仿宋_GB2312"/>
                <w:spacing w:val="-18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8"/>
                <w:sz w:val="28"/>
                <w:szCs w:val="28"/>
                <w:highlight w:val="none"/>
                <w:lang w:eastAsia="zh-CN"/>
              </w:rPr>
              <w:t>洛阳市西工区滤润大道0576号</w:t>
            </w:r>
          </w:p>
        </w:tc>
        <w:tc>
          <w:tcPr>
            <w:tcW w:w="1421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62" w:line="186" w:lineRule="auto"/>
              <w:jc w:val="center"/>
              <w:rPr>
                <w:rFonts w:hint="default" w:ascii="仿宋_GB2312" w:hAnsi="仿宋_GB2312" w:eastAsia="仿宋_GB2312" w:cs="仿宋_GB2312"/>
                <w:spacing w:val="-8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  <w:sz w:val="28"/>
                <w:szCs w:val="28"/>
                <w:highlight w:val="none"/>
                <w:lang w:val="en-US" w:eastAsia="zh-CN"/>
              </w:rPr>
              <w:t>约11桶</w:t>
            </w:r>
          </w:p>
        </w:tc>
        <w:tc>
          <w:tcPr>
            <w:tcW w:w="110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62" w:line="186" w:lineRule="auto"/>
              <w:ind w:left="299"/>
              <w:jc w:val="center"/>
              <w:rPr>
                <w:rFonts w:hint="eastAsia" w:ascii="仿宋_GB2312" w:hAnsi="仿宋_GB2312" w:eastAsia="仿宋_GB2312" w:cs="仿宋_GB2312"/>
                <w:spacing w:val="-8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8"/>
                <w:szCs w:val="28"/>
                <w:highlight w:val="none"/>
                <w:lang w:val="en-US" w:eastAsia="zh-CN"/>
              </w:rPr>
              <w:t>办公园区、</w:t>
            </w:r>
          </w:p>
          <w:p>
            <w:pPr>
              <w:spacing w:before="62" w:line="186" w:lineRule="auto"/>
              <w:ind w:left="299"/>
              <w:jc w:val="center"/>
              <w:rPr>
                <w:rFonts w:hint="default" w:ascii="仿宋_GB2312" w:hAnsi="仿宋_GB2312" w:eastAsia="仿宋_GB2312" w:cs="仿宋_GB2312"/>
                <w:spacing w:val="-8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8"/>
                <w:szCs w:val="28"/>
                <w:highlight w:val="none"/>
                <w:lang w:val="en-US" w:eastAsia="zh-CN"/>
              </w:rPr>
              <w:t>公寓宿舍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6" w:hRule="atLeast"/>
        </w:trPr>
        <w:tc>
          <w:tcPr>
            <w:tcW w:w="43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62" w:line="187" w:lineRule="auto"/>
              <w:ind w:left="264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79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235" w:line="226" w:lineRule="auto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瀍东停车场</w:t>
            </w:r>
          </w:p>
        </w:tc>
        <w:tc>
          <w:tcPr>
            <w:tcW w:w="124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62" w:line="224" w:lineRule="auto"/>
              <w:jc w:val="center"/>
              <w:rPr>
                <w:rFonts w:hint="eastAsia" w:ascii="仿宋_GB2312" w:hAnsi="仿宋_GB2312" w:eastAsia="仿宋_GB2312" w:cs="仿宋_GB2312"/>
                <w:spacing w:val="-18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8"/>
                <w:sz w:val="28"/>
                <w:szCs w:val="28"/>
                <w:highlight w:val="none"/>
                <w:lang w:eastAsia="zh-CN"/>
              </w:rPr>
              <w:t>洛阳市公安局轨道交通分局</w:t>
            </w:r>
          </w:p>
        </w:tc>
        <w:tc>
          <w:tcPr>
            <w:tcW w:w="1421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62" w:line="187" w:lineRule="auto"/>
              <w:jc w:val="center"/>
              <w:rPr>
                <w:rFonts w:hint="default" w:ascii="仿宋_GB2312" w:hAnsi="仿宋_GB2312" w:eastAsia="仿宋_GB2312" w:cs="仿宋_GB2312"/>
                <w:spacing w:val="-8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8"/>
                <w:szCs w:val="28"/>
                <w:highlight w:val="none"/>
                <w:lang w:val="en-US" w:eastAsia="zh-CN"/>
              </w:rPr>
              <w:t>约4桶</w:t>
            </w:r>
          </w:p>
        </w:tc>
        <w:tc>
          <w:tcPr>
            <w:tcW w:w="110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62" w:line="186" w:lineRule="auto"/>
              <w:ind w:left="299"/>
              <w:jc w:val="center"/>
              <w:rPr>
                <w:rFonts w:hint="eastAsia" w:ascii="仿宋_GB2312" w:hAnsi="仿宋_GB2312" w:eastAsia="仿宋_GB2312" w:cs="仿宋_GB2312"/>
                <w:spacing w:val="-8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8"/>
                <w:szCs w:val="28"/>
                <w:highlight w:val="none"/>
                <w:lang w:val="en-US" w:eastAsia="zh-CN"/>
              </w:rPr>
              <w:t>办公园区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6" w:hRule="atLeast"/>
        </w:trPr>
        <w:tc>
          <w:tcPr>
            <w:tcW w:w="43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62" w:line="187" w:lineRule="auto"/>
              <w:ind w:left="264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79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235" w:line="226" w:lineRule="auto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刘富村车辆段</w:t>
            </w:r>
          </w:p>
        </w:tc>
        <w:tc>
          <w:tcPr>
            <w:tcW w:w="124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62" w:line="224" w:lineRule="auto"/>
              <w:jc w:val="center"/>
              <w:rPr>
                <w:rFonts w:hint="eastAsia" w:ascii="仿宋_GB2312" w:hAnsi="仿宋_GB2312" w:eastAsia="仿宋_GB2312" w:cs="仿宋_GB2312"/>
                <w:spacing w:val="-18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8"/>
                <w:sz w:val="28"/>
                <w:szCs w:val="28"/>
                <w:highlight w:val="none"/>
                <w:lang w:eastAsia="zh-CN"/>
              </w:rPr>
              <w:t>洛阳市洛龙区伊洛路201号</w:t>
            </w:r>
          </w:p>
        </w:tc>
        <w:tc>
          <w:tcPr>
            <w:tcW w:w="1421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62" w:line="187" w:lineRule="auto"/>
              <w:jc w:val="center"/>
              <w:rPr>
                <w:rFonts w:hint="default" w:ascii="仿宋_GB2312" w:hAnsi="仿宋_GB2312" w:eastAsia="仿宋_GB2312" w:cs="仿宋_GB2312"/>
                <w:spacing w:val="-8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8"/>
                <w:szCs w:val="28"/>
                <w:highlight w:val="none"/>
                <w:lang w:val="en-US" w:eastAsia="zh-CN"/>
              </w:rPr>
              <w:t>约10桶</w:t>
            </w:r>
          </w:p>
        </w:tc>
        <w:tc>
          <w:tcPr>
            <w:tcW w:w="110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62" w:line="186" w:lineRule="auto"/>
              <w:ind w:left="299"/>
              <w:jc w:val="center"/>
              <w:rPr>
                <w:rFonts w:hint="eastAsia" w:ascii="仿宋_GB2312" w:hAnsi="仿宋_GB2312" w:eastAsia="仿宋_GB2312" w:cs="仿宋_GB2312"/>
                <w:spacing w:val="-8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8"/>
                <w:szCs w:val="28"/>
                <w:highlight w:val="none"/>
                <w:lang w:val="en-US" w:eastAsia="zh-CN"/>
              </w:rPr>
              <w:t>办公园区、</w:t>
            </w:r>
          </w:p>
          <w:p>
            <w:pPr>
              <w:spacing w:before="62" w:line="186" w:lineRule="auto"/>
              <w:ind w:left="299"/>
              <w:jc w:val="center"/>
              <w:rPr>
                <w:rFonts w:hint="default" w:ascii="仿宋_GB2312" w:hAnsi="仿宋_GB2312" w:eastAsia="仿宋_GB2312" w:cs="仿宋_GB2312"/>
                <w:spacing w:val="-8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8"/>
                <w:szCs w:val="28"/>
                <w:highlight w:val="none"/>
                <w:lang w:val="en-US" w:eastAsia="zh-CN"/>
              </w:rPr>
              <w:t>公寓宿舍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6" w:hRule="atLeast"/>
        </w:trPr>
        <w:tc>
          <w:tcPr>
            <w:tcW w:w="43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62" w:line="187" w:lineRule="auto"/>
              <w:ind w:left="264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79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235" w:line="226" w:lineRule="auto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火车站枢纽</w:t>
            </w:r>
          </w:p>
        </w:tc>
        <w:tc>
          <w:tcPr>
            <w:tcW w:w="124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62" w:line="224" w:lineRule="auto"/>
              <w:jc w:val="center"/>
              <w:rPr>
                <w:rFonts w:hint="default" w:ascii="仿宋_GB2312" w:hAnsi="仿宋_GB2312" w:eastAsia="仿宋_GB2312" w:cs="仿宋_GB2312"/>
                <w:spacing w:val="-18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8"/>
                <w:sz w:val="28"/>
                <w:szCs w:val="28"/>
                <w:highlight w:val="none"/>
                <w:lang w:val="en-US" w:eastAsia="zh-CN"/>
              </w:rPr>
              <w:t>西工区洛阳站下方停车场</w:t>
            </w:r>
          </w:p>
        </w:tc>
        <w:tc>
          <w:tcPr>
            <w:tcW w:w="1421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62" w:line="186" w:lineRule="auto"/>
              <w:jc w:val="center"/>
              <w:rPr>
                <w:rFonts w:hint="default" w:ascii="仿宋_GB2312" w:hAnsi="仿宋_GB2312" w:eastAsia="仿宋_GB2312" w:cs="仿宋_GB2312"/>
                <w:spacing w:val="-8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  <w:sz w:val="28"/>
                <w:szCs w:val="28"/>
                <w:highlight w:val="none"/>
                <w:lang w:val="en-US" w:eastAsia="zh-CN"/>
              </w:rPr>
              <w:t>约2桶</w:t>
            </w:r>
          </w:p>
        </w:tc>
        <w:tc>
          <w:tcPr>
            <w:tcW w:w="110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62" w:line="186" w:lineRule="auto"/>
              <w:ind w:left="299"/>
              <w:jc w:val="center"/>
              <w:rPr>
                <w:rFonts w:hint="default" w:ascii="仿宋_GB2312" w:hAnsi="仿宋_GB2312" w:eastAsia="仿宋_GB2312" w:cs="仿宋_GB2312"/>
                <w:spacing w:val="-8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8"/>
                <w:szCs w:val="28"/>
                <w:highlight w:val="none"/>
                <w:lang w:val="en-US" w:eastAsia="zh-CN"/>
              </w:rPr>
              <w:t>停车场及公共通道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6" w:hRule="atLeast"/>
        </w:trPr>
        <w:tc>
          <w:tcPr>
            <w:tcW w:w="43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62" w:line="187" w:lineRule="auto"/>
              <w:ind w:left="264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79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235" w:line="226" w:lineRule="auto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龙门枢纽</w:t>
            </w:r>
          </w:p>
        </w:tc>
        <w:tc>
          <w:tcPr>
            <w:tcW w:w="124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62" w:line="224" w:lineRule="auto"/>
              <w:jc w:val="center"/>
              <w:rPr>
                <w:rFonts w:hint="default" w:ascii="仿宋_GB2312" w:hAnsi="仿宋_GB2312" w:eastAsia="仿宋_GB2312" w:cs="仿宋_GB2312"/>
                <w:spacing w:val="-18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8"/>
                <w:sz w:val="28"/>
                <w:szCs w:val="28"/>
                <w:highlight w:val="none"/>
                <w:lang w:eastAsia="zh-CN"/>
              </w:rPr>
              <w:t>洛龙区通衢路洛阳龙门站</w:t>
            </w:r>
            <w:r>
              <w:rPr>
                <w:rFonts w:hint="eastAsia" w:ascii="仿宋_GB2312" w:hAnsi="仿宋_GB2312" w:eastAsia="仿宋_GB2312" w:cs="仿宋_GB2312"/>
                <w:spacing w:val="-18"/>
                <w:sz w:val="28"/>
                <w:szCs w:val="28"/>
                <w:highlight w:val="none"/>
                <w:lang w:val="en-US" w:eastAsia="zh-CN"/>
              </w:rPr>
              <w:t>下方停车场</w:t>
            </w:r>
          </w:p>
        </w:tc>
        <w:tc>
          <w:tcPr>
            <w:tcW w:w="1421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62" w:line="186" w:lineRule="auto"/>
              <w:jc w:val="center"/>
              <w:rPr>
                <w:rFonts w:hint="default" w:ascii="仿宋_GB2312" w:hAnsi="仿宋_GB2312" w:eastAsia="仿宋_GB2312" w:cs="仿宋_GB2312"/>
                <w:spacing w:val="-8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  <w:sz w:val="28"/>
                <w:szCs w:val="28"/>
                <w:highlight w:val="none"/>
                <w:lang w:val="en-US" w:eastAsia="zh-CN"/>
              </w:rPr>
              <w:t>约4桶</w:t>
            </w:r>
          </w:p>
        </w:tc>
        <w:tc>
          <w:tcPr>
            <w:tcW w:w="110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62" w:line="186" w:lineRule="auto"/>
              <w:ind w:left="299"/>
              <w:jc w:val="center"/>
              <w:rPr>
                <w:rFonts w:hint="eastAsia" w:ascii="仿宋_GB2312" w:hAnsi="仿宋_GB2312" w:eastAsia="仿宋_GB2312" w:cs="仿宋_GB2312"/>
                <w:spacing w:val="-8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8"/>
                <w:szCs w:val="28"/>
                <w:highlight w:val="none"/>
                <w:lang w:val="en-US" w:eastAsia="zh-CN"/>
              </w:rPr>
              <w:t>停车场及公共通道</w:t>
            </w:r>
          </w:p>
        </w:tc>
      </w:tr>
    </w:tbl>
    <w:p>
      <w:pPr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说明：以上数据仅供报价参考，并不代表每日实际数量。</w:t>
      </w:r>
    </w:p>
    <w:p>
      <w:pP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br w:type="page"/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27" w:firstLineChars="200"/>
        <w:jc w:val="left"/>
        <w:textAlignment w:val="auto"/>
        <w:rPr>
          <w:rFonts w:hint="default" w:ascii="仿宋_GB2312" w:hAnsi="仿宋_GB2312" w:eastAsia="仿宋_GB2312" w:cs="仿宋_GB2312"/>
          <w:b/>
          <w:bCs/>
          <w:spacing w:val="-4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spacing w:val="-4"/>
          <w:kern w:val="2"/>
          <w:sz w:val="32"/>
          <w:szCs w:val="32"/>
          <w:lang w:val="en-US" w:eastAsia="zh-CN" w:bidi="ar-SA"/>
        </w:rPr>
        <w:t>2.餐厨垃圾（泔水）</w:t>
      </w:r>
    </w:p>
    <w:tbl>
      <w:tblPr>
        <w:tblStyle w:val="9"/>
        <w:tblW w:w="5080" w:type="pct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43"/>
        <w:gridCol w:w="1533"/>
        <w:gridCol w:w="1832"/>
        <w:gridCol w:w="2842"/>
        <w:gridCol w:w="170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</w:trPr>
        <w:tc>
          <w:tcPr>
            <w:tcW w:w="321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  <w14:textOutline w14:w="3537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序号</w:t>
            </w:r>
          </w:p>
        </w:tc>
        <w:tc>
          <w:tcPr>
            <w:tcW w:w="90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202" w:line="227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eastAsia="zh-CN"/>
                <w14:textOutline w14:w="3537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项目</w:t>
            </w: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14:textOutline w14:w="3537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名称</w:t>
            </w:r>
          </w:p>
        </w:tc>
        <w:tc>
          <w:tcPr>
            <w:tcW w:w="108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203" w:line="225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8"/>
                <w:szCs w:val="28"/>
                <w:highlight w:val="none"/>
                <w:lang w:val="en-US" w:eastAsia="zh-CN"/>
                <w14:textOutline w14:w="3537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所在</w:t>
            </w:r>
            <w:r>
              <w:rPr>
                <w:rFonts w:hint="eastAsia" w:ascii="仿宋_GB2312" w:hAnsi="仿宋_GB2312" w:eastAsia="仿宋_GB2312" w:cs="仿宋_GB2312"/>
                <w:spacing w:val="-8"/>
                <w:sz w:val="28"/>
                <w:szCs w:val="28"/>
                <w:highlight w:val="none"/>
                <w14:textOutline w14:w="3537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位置</w:t>
            </w:r>
          </w:p>
        </w:tc>
        <w:tc>
          <w:tcPr>
            <w:tcW w:w="168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203" w:line="225" w:lineRule="auto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8"/>
                <w:szCs w:val="28"/>
                <w:highlight w:val="none"/>
                <w:lang w:val="en-US" w:eastAsia="zh-CN"/>
                <w14:textOutline w14:w="3537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每日垃圾预计桶数（240L/桶）</w:t>
            </w:r>
          </w:p>
        </w:tc>
        <w:tc>
          <w:tcPr>
            <w:tcW w:w="100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203" w:line="225" w:lineRule="auto"/>
              <w:jc w:val="center"/>
              <w:rPr>
                <w:rFonts w:hint="default" w:ascii="仿宋_GB2312" w:hAnsi="仿宋_GB2312" w:eastAsia="仿宋_GB2312" w:cs="仿宋_GB2312"/>
                <w:spacing w:val="8"/>
                <w:sz w:val="28"/>
                <w:szCs w:val="28"/>
                <w:highlight w:val="none"/>
                <w:lang w:val="en-US" w:eastAsia="zh-CN"/>
                <w14:textOutline w14:w="3537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28"/>
                <w:szCs w:val="28"/>
                <w:highlight w:val="none"/>
                <w:lang w:val="en-US" w:eastAsia="zh-CN"/>
                <w14:textOutline w14:w="3537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业态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6" w:hRule="atLeast"/>
        </w:trPr>
        <w:tc>
          <w:tcPr>
            <w:tcW w:w="321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277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277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</w:p>
          <w:p>
            <w:pPr>
              <w:spacing w:before="62" w:line="187" w:lineRule="auto"/>
              <w:ind w:left="264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0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235" w:line="226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洛阳轨道交通控制中心</w:t>
            </w:r>
          </w:p>
        </w:tc>
        <w:tc>
          <w:tcPr>
            <w:tcW w:w="108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62" w:line="224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8"/>
                <w:sz w:val="28"/>
                <w:szCs w:val="28"/>
                <w:highlight w:val="none"/>
                <w:lang w:eastAsia="zh-CN"/>
              </w:rPr>
              <w:t>洛阳市洛龙区通衢路</w:t>
            </w:r>
            <w:r>
              <w:rPr>
                <w:rFonts w:hint="eastAsia" w:ascii="仿宋_GB2312" w:hAnsi="仿宋_GB2312" w:eastAsia="仿宋_GB2312" w:cs="仿宋_GB2312"/>
                <w:spacing w:val="-18"/>
                <w:sz w:val="28"/>
                <w:szCs w:val="28"/>
                <w:highlight w:val="none"/>
                <w:lang w:val="en-US" w:eastAsia="zh-CN"/>
              </w:rPr>
              <w:t>207号</w:t>
            </w:r>
          </w:p>
        </w:tc>
        <w:tc>
          <w:tcPr>
            <w:tcW w:w="168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62" w:line="186" w:lineRule="auto"/>
              <w:ind w:left="299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约2桶</w:t>
            </w:r>
          </w:p>
        </w:tc>
        <w:tc>
          <w:tcPr>
            <w:tcW w:w="100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62" w:line="186" w:lineRule="auto"/>
              <w:jc w:val="center"/>
              <w:rPr>
                <w:rFonts w:hint="default" w:ascii="仿宋_GB2312" w:hAnsi="仿宋_GB2312" w:eastAsia="仿宋_GB2312" w:cs="仿宋_GB2312"/>
                <w:spacing w:val="-8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8"/>
                <w:szCs w:val="28"/>
                <w:highlight w:val="none"/>
                <w:lang w:val="en-US" w:eastAsia="zh-CN"/>
              </w:rPr>
              <w:t>职工餐厅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6" w:hRule="atLeast"/>
        </w:trPr>
        <w:tc>
          <w:tcPr>
            <w:tcW w:w="321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62" w:line="187" w:lineRule="auto"/>
              <w:ind w:left="264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90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235" w:line="226" w:lineRule="auto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红山车辆段</w:t>
            </w:r>
          </w:p>
        </w:tc>
        <w:tc>
          <w:tcPr>
            <w:tcW w:w="108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62" w:line="224" w:lineRule="auto"/>
              <w:jc w:val="center"/>
              <w:rPr>
                <w:rFonts w:hint="eastAsia" w:ascii="仿宋_GB2312" w:hAnsi="仿宋_GB2312" w:eastAsia="仿宋_GB2312" w:cs="仿宋_GB2312"/>
                <w:spacing w:val="-18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8"/>
                <w:sz w:val="28"/>
                <w:szCs w:val="28"/>
                <w:highlight w:val="none"/>
                <w:lang w:eastAsia="zh-CN"/>
              </w:rPr>
              <w:t>洛阳市西工区滤润大道0576号</w:t>
            </w:r>
          </w:p>
        </w:tc>
        <w:tc>
          <w:tcPr>
            <w:tcW w:w="168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62" w:line="186" w:lineRule="auto"/>
              <w:jc w:val="center"/>
              <w:rPr>
                <w:rFonts w:hint="default" w:ascii="仿宋_GB2312" w:hAnsi="仿宋_GB2312" w:eastAsia="仿宋_GB2312" w:cs="仿宋_GB2312"/>
                <w:spacing w:val="-8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  <w:sz w:val="28"/>
                <w:szCs w:val="28"/>
                <w:highlight w:val="none"/>
                <w:lang w:val="en-US" w:eastAsia="zh-CN"/>
              </w:rPr>
              <w:t>约2桶</w:t>
            </w:r>
          </w:p>
        </w:tc>
        <w:tc>
          <w:tcPr>
            <w:tcW w:w="100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62" w:line="186" w:lineRule="auto"/>
              <w:jc w:val="center"/>
              <w:rPr>
                <w:rFonts w:hint="default" w:ascii="仿宋_GB2312" w:hAnsi="仿宋_GB2312" w:eastAsia="仿宋_GB2312" w:cs="仿宋_GB2312"/>
                <w:spacing w:val="-8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8"/>
                <w:szCs w:val="28"/>
                <w:highlight w:val="none"/>
                <w:lang w:val="en-US" w:eastAsia="zh-CN"/>
              </w:rPr>
              <w:t>职工餐厅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6" w:hRule="atLeast"/>
        </w:trPr>
        <w:tc>
          <w:tcPr>
            <w:tcW w:w="321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62" w:line="187" w:lineRule="auto"/>
              <w:ind w:left="264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90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235" w:line="226" w:lineRule="auto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瀍东停车场</w:t>
            </w:r>
          </w:p>
        </w:tc>
        <w:tc>
          <w:tcPr>
            <w:tcW w:w="108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62" w:line="224" w:lineRule="auto"/>
              <w:jc w:val="center"/>
              <w:rPr>
                <w:rFonts w:hint="eastAsia" w:ascii="仿宋_GB2312" w:hAnsi="仿宋_GB2312" w:eastAsia="仿宋_GB2312" w:cs="仿宋_GB2312"/>
                <w:spacing w:val="-18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8"/>
                <w:sz w:val="28"/>
                <w:szCs w:val="28"/>
                <w:highlight w:val="none"/>
                <w:lang w:eastAsia="zh-CN"/>
              </w:rPr>
              <w:t>洛阳市公安局轨道交通分局</w:t>
            </w:r>
          </w:p>
        </w:tc>
        <w:tc>
          <w:tcPr>
            <w:tcW w:w="168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62" w:line="187" w:lineRule="auto"/>
              <w:jc w:val="center"/>
              <w:rPr>
                <w:rFonts w:hint="default" w:ascii="仿宋_GB2312" w:hAnsi="仿宋_GB2312" w:eastAsia="仿宋_GB2312" w:cs="仿宋_GB2312"/>
                <w:spacing w:val="-8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8"/>
                <w:szCs w:val="28"/>
                <w:highlight w:val="none"/>
                <w:lang w:val="en-US" w:eastAsia="zh-CN"/>
              </w:rPr>
              <w:t>约2桶</w:t>
            </w:r>
          </w:p>
        </w:tc>
        <w:tc>
          <w:tcPr>
            <w:tcW w:w="100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62" w:line="186" w:lineRule="auto"/>
              <w:jc w:val="center"/>
              <w:rPr>
                <w:rFonts w:hint="default" w:ascii="仿宋_GB2312" w:hAnsi="仿宋_GB2312" w:eastAsia="仿宋_GB2312" w:cs="仿宋_GB2312"/>
                <w:spacing w:val="-8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8"/>
                <w:szCs w:val="28"/>
                <w:highlight w:val="none"/>
                <w:lang w:val="en-US" w:eastAsia="zh-CN"/>
              </w:rPr>
              <w:t>职工餐厅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6" w:hRule="atLeast"/>
        </w:trPr>
        <w:tc>
          <w:tcPr>
            <w:tcW w:w="321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62" w:line="187" w:lineRule="auto"/>
              <w:ind w:left="264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90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235" w:line="226" w:lineRule="auto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刘富村车辆段</w:t>
            </w:r>
          </w:p>
        </w:tc>
        <w:tc>
          <w:tcPr>
            <w:tcW w:w="108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62" w:line="224" w:lineRule="auto"/>
              <w:jc w:val="center"/>
              <w:rPr>
                <w:rFonts w:hint="eastAsia" w:ascii="仿宋_GB2312" w:hAnsi="仿宋_GB2312" w:eastAsia="仿宋_GB2312" w:cs="仿宋_GB2312"/>
                <w:spacing w:val="-18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8"/>
                <w:sz w:val="28"/>
                <w:szCs w:val="28"/>
                <w:highlight w:val="none"/>
                <w:lang w:eastAsia="zh-CN"/>
              </w:rPr>
              <w:t>洛阳市洛龙区伊洛路201号</w:t>
            </w:r>
          </w:p>
        </w:tc>
        <w:tc>
          <w:tcPr>
            <w:tcW w:w="168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62" w:line="187" w:lineRule="auto"/>
              <w:jc w:val="center"/>
              <w:rPr>
                <w:rFonts w:hint="default" w:ascii="仿宋_GB2312" w:hAnsi="仿宋_GB2312" w:eastAsia="仿宋_GB2312" w:cs="仿宋_GB2312"/>
                <w:spacing w:val="-8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8"/>
                <w:szCs w:val="28"/>
                <w:highlight w:val="none"/>
                <w:lang w:val="en-US" w:eastAsia="zh-CN"/>
              </w:rPr>
              <w:t>约2桶</w:t>
            </w:r>
          </w:p>
        </w:tc>
        <w:tc>
          <w:tcPr>
            <w:tcW w:w="100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62" w:line="186" w:lineRule="auto"/>
              <w:jc w:val="center"/>
              <w:rPr>
                <w:rFonts w:hint="default" w:ascii="仿宋_GB2312" w:hAnsi="仿宋_GB2312" w:eastAsia="仿宋_GB2312" w:cs="仿宋_GB2312"/>
                <w:spacing w:val="-8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8"/>
                <w:szCs w:val="28"/>
                <w:highlight w:val="none"/>
                <w:lang w:val="en-US" w:eastAsia="zh-CN"/>
              </w:rPr>
              <w:t>职工餐厅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6" w:hRule="atLeast"/>
        </w:trPr>
        <w:tc>
          <w:tcPr>
            <w:tcW w:w="321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62" w:line="187" w:lineRule="auto"/>
              <w:ind w:left="264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90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235" w:line="226" w:lineRule="auto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火车站枢纽</w:t>
            </w:r>
          </w:p>
        </w:tc>
        <w:tc>
          <w:tcPr>
            <w:tcW w:w="108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62" w:line="224" w:lineRule="auto"/>
              <w:jc w:val="center"/>
              <w:rPr>
                <w:rFonts w:hint="default" w:ascii="仿宋_GB2312" w:hAnsi="仿宋_GB2312" w:eastAsia="仿宋_GB2312" w:cs="仿宋_GB2312"/>
                <w:spacing w:val="-18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8"/>
                <w:sz w:val="28"/>
                <w:szCs w:val="28"/>
                <w:highlight w:val="none"/>
                <w:lang w:val="en-US" w:eastAsia="zh-CN"/>
              </w:rPr>
              <w:t>西工区洛阳站下方停车场</w:t>
            </w:r>
          </w:p>
        </w:tc>
        <w:tc>
          <w:tcPr>
            <w:tcW w:w="168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62" w:line="186" w:lineRule="auto"/>
              <w:jc w:val="center"/>
              <w:rPr>
                <w:rFonts w:hint="default" w:ascii="仿宋_GB2312" w:hAnsi="仿宋_GB2312" w:eastAsia="仿宋_GB2312" w:cs="仿宋_GB2312"/>
                <w:spacing w:val="-8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  <w:sz w:val="28"/>
                <w:szCs w:val="28"/>
                <w:highlight w:val="none"/>
                <w:lang w:val="en-US" w:eastAsia="zh-CN"/>
              </w:rPr>
              <w:t>约3桶</w:t>
            </w:r>
          </w:p>
        </w:tc>
        <w:tc>
          <w:tcPr>
            <w:tcW w:w="100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62" w:line="186" w:lineRule="auto"/>
              <w:jc w:val="center"/>
              <w:rPr>
                <w:rFonts w:hint="default" w:ascii="仿宋_GB2312" w:hAnsi="仿宋_GB2312" w:eastAsia="仿宋_GB2312" w:cs="仿宋_GB2312"/>
                <w:spacing w:val="-8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8"/>
                <w:szCs w:val="28"/>
                <w:highlight w:val="none"/>
                <w:lang w:val="en-US" w:eastAsia="zh-CN"/>
              </w:rPr>
              <w:t>商铺餐饮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6" w:hRule="atLeast"/>
        </w:trPr>
        <w:tc>
          <w:tcPr>
            <w:tcW w:w="321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62" w:line="187" w:lineRule="auto"/>
              <w:ind w:left="264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90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235" w:line="226" w:lineRule="auto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龙门枢纽</w:t>
            </w:r>
          </w:p>
        </w:tc>
        <w:tc>
          <w:tcPr>
            <w:tcW w:w="108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62" w:line="224" w:lineRule="auto"/>
              <w:jc w:val="center"/>
              <w:rPr>
                <w:rFonts w:hint="default" w:ascii="仿宋_GB2312" w:hAnsi="仿宋_GB2312" w:eastAsia="仿宋_GB2312" w:cs="仿宋_GB2312"/>
                <w:spacing w:val="-18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8"/>
                <w:sz w:val="28"/>
                <w:szCs w:val="28"/>
                <w:highlight w:val="none"/>
                <w:lang w:eastAsia="zh-CN"/>
              </w:rPr>
              <w:t>洛龙区通衢路洛阳龙门站</w:t>
            </w:r>
            <w:r>
              <w:rPr>
                <w:rFonts w:hint="eastAsia" w:ascii="仿宋_GB2312" w:hAnsi="仿宋_GB2312" w:eastAsia="仿宋_GB2312" w:cs="仿宋_GB2312"/>
                <w:spacing w:val="-18"/>
                <w:sz w:val="28"/>
                <w:szCs w:val="28"/>
                <w:highlight w:val="none"/>
                <w:lang w:val="en-US" w:eastAsia="zh-CN"/>
              </w:rPr>
              <w:t>下方停车场</w:t>
            </w:r>
          </w:p>
        </w:tc>
        <w:tc>
          <w:tcPr>
            <w:tcW w:w="168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62" w:line="186" w:lineRule="auto"/>
              <w:jc w:val="center"/>
              <w:rPr>
                <w:rFonts w:hint="default" w:ascii="仿宋_GB2312" w:hAnsi="仿宋_GB2312" w:eastAsia="仿宋_GB2312" w:cs="仿宋_GB2312"/>
                <w:spacing w:val="-8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  <w:sz w:val="28"/>
                <w:szCs w:val="28"/>
                <w:highlight w:val="none"/>
                <w:lang w:val="en-US" w:eastAsia="zh-CN"/>
              </w:rPr>
              <w:t>约4桶</w:t>
            </w:r>
          </w:p>
        </w:tc>
        <w:tc>
          <w:tcPr>
            <w:tcW w:w="100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62" w:line="186" w:lineRule="auto"/>
              <w:jc w:val="center"/>
              <w:rPr>
                <w:rFonts w:hint="eastAsia" w:ascii="仿宋_GB2312" w:hAnsi="仿宋_GB2312" w:eastAsia="仿宋_GB2312" w:cs="仿宋_GB2312"/>
                <w:spacing w:val="-8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8"/>
                <w:szCs w:val="28"/>
                <w:highlight w:val="none"/>
                <w:lang w:val="en-US" w:eastAsia="zh-CN"/>
              </w:rPr>
              <w:t>商铺餐饮</w:t>
            </w:r>
          </w:p>
        </w:tc>
      </w:tr>
    </w:tbl>
    <w:p>
      <w:pPr>
        <w:numPr>
          <w:ilvl w:val="0"/>
          <w:numId w:val="0"/>
        </w:numPr>
        <w:jc w:val="left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说明：以上数据仅供报价参考，并不代表每日实际数量。</w:t>
      </w:r>
    </w:p>
    <w:p>
      <w:pPr>
        <w:pStyle w:val="2"/>
        <w:numPr>
          <w:ilvl w:val="0"/>
          <w:numId w:val="0"/>
        </w:numPr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ind w:leftChars="0"/>
        <w:jc w:val="left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五、服务内容及要求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1、项目内垃圾做到日产日清，完成清运工作，同时对垃圾进行消杀、无害化处理。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2、垃圾清运过程中车辆必须封闭，无撒露现象，对清运车辆及时维护保养，保持垃圾清运车干净卫生，确保正常、安全、高效运转。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3、垃圾清运车辆在项目内清运垃圾时，应做到低速行驶、禁止鸣笛，如若出现车辆剐蹭造成设施设备、人员等健康、财产损失的，由服务方负责。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4、避免因垃圾清运不及时被媒体报道、员工投诉等造成恶劣影响。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5、生活垃圾须清运至垃圾处理厂，按规定路线安全行驶，不能随意倾倒。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6、服从采购人工作安排，遵守采购人物业管理规章制度，不得无故旷运（如有特殊情况，必须在12小时内予以处理完毕）。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7、符合城市管理局关于《洛阳市电动（燃油）三轮车低速电动自行车综合三年行动实施方案》的相关规定。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8、配合采购人在项目内其他类别的垃圾清运。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9、服务方在清运过程中有损坏其他公用设施的，服务方负责照价赔偿。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10、服务方负责垃圾清运人员的工资、劳保、福利、培训等全部费用。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11、服务方负责垃圾清运车辆及人员的安全责任。</w:t>
      </w:r>
    </w:p>
    <w:p>
      <w:pPr>
        <w:pStyle w:val="2"/>
        <w:numPr>
          <w:ilvl w:val="0"/>
          <w:numId w:val="0"/>
        </w:numPr>
        <w:ind w:leftChars="0"/>
        <w:rPr>
          <w:rFonts w:hint="default" w:ascii="仿宋_GB2312" w:hAnsi="仿宋_GB2312" w:eastAsia="仿宋_GB2312" w:cs="仿宋_GB2312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  <w:lang w:val="en-US" w:eastAsia="zh-CN" w:bidi="ar-SA"/>
        </w:rPr>
        <w:t>附件2：</w:t>
      </w:r>
    </w:p>
    <w:p>
      <w:pPr>
        <w:pStyle w:val="3"/>
        <w:jc w:val="center"/>
        <w:rPr>
          <w:rFonts w:hint="eastAsia" w:ascii="微软雅黑" w:hAnsi="微软雅黑" w:eastAsia="微软雅黑" w:cs="微软雅黑"/>
          <w:b/>
          <w:bCs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32"/>
          <w:lang w:val="en-US" w:eastAsia="zh-CN"/>
        </w:rPr>
        <w:t>2025年度清洁服务项目01标询价公告（2次）报价表</w:t>
      </w:r>
    </w:p>
    <w:p>
      <w:pPr>
        <w:pStyle w:val="3"/>
        <w:jc w:val="both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报价单位：（盖章）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7"/>
        <w:gridCol w:w="1655"/>
        <w:gridCol w:w="1924"/>
        <w:gridCol w:w="2018"/>
        <w:gridCol w:w="911"/>
        <w:gridCol w:w="12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vAlign w:val="center"/>
          </w:tcPr>
          <w:p>
            <w:pPr>
              <w:pStyle w:val="3"/>
              <w:jc w:val="center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  <w:t>序号</w:t>
            </w:r>
          </w:p>
        </w:tc>
        <w:tc>
          <w:tcPr>
            <w:tcW w:w="1655" w:type="dxa"/>
            <w:vAlign w:val="center"/>
          </w:tcPr>
          <w:p>
            <w:pPr>
              <w:pStyle w:val="3"/>
              <w:jc w:val="center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  <w:t>项目名称</w:t>
            </w:r>
          </w:p>
        </w:tc>
        <w:tc>
          <w:tcPr>
            <w:tcW w:w="1924" w:type="dxa"/>
            <w:vAlign w:val="center"/>
          </w:tcPr>
          <w:p>
            <w:pPr>
              <w:pStyle w:val="3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  <w:t>生活垃圾报价（含税）</w:t>
            </w:r>
          </w:p>
          <w:p>
            <w:pPr>
              <w:pStyle w:val="3"/>
              <w:jc w:val="center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  <w:t>（元/月）</w:t>
            </w:r>
          </w:p>
        </w:tc>
        <w:tc>
          <w:tcPr>
            <w:tcW w:w="2018" w:type="dxa"/>
            <w:vAlign w:val="center"/>
          </w:tcPr>
          <w:p>
            <w:pPr>
              <w:pStyle w:val="3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  <w:t>餐厨垃圾报价（含税）</w:t>
            </w:r>
          </w:p>
          <w:p>
            <w:pPr>
              <w:pStyle w:val="3"/>
              <w:jc w:val="center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  <w:t>（元/月）</w:t>
            </w:r>
          </w:p>
        </w:tc>
        <w:tc>
          <w:tcPr>
            <w:tcW w:w="911" w:type="dxa"/>
            <w:vAlign w:val="center"/>
          </w:tcPr>
          <w:p>
            <w:pPr>
              <w:pStyle w:val="3"/>
              <w:jc w:val="center"/>
              <w:rPr>
                <w:rFonts w:hint="default" w:ascii="仿宋_GB2312" w:hAnsi="仿宋_GB2312" w:eastAsia="仿宋_GB2312" w:cs="仿宋_GB2312"/>
                <w:b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  <w:t>税率（%）</w:t>
            </w:r>
          </w:p>
        </w:tc>
        <w:tc>
          <w:tcPr>
            <w:tcW w:w="1203" w:type="dxa"/>
            <w:vAlign w:val="center"/>
          </w:tcPr>
          <w:p>
            <w:pPr>
              <w:pStyle w:val="3"/>
              <w:jc w:val="center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vAlign w:val="center"/>
          </w:tcPr>
          <w:p>
            <w:pPr>
              <w:pStyle w:val="3"/>
              <w:jc w:val="center"/>
              <w:rPr>
                <w:rFonts w:hint="default" w:ascii="微软雅黑" w:hAnsi="微软雅黑" w:eastAsia="微软雅黑" w:cs="微软雅黑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655" w:type="dxa"/>
            <w:vAlign w:val="center"/>
          </w:tcPr>
          <w:p>
            <w:pPr>
              <w:spacing w:before="235" w:line="226" w:lineRule="auto"/>
              <w:jc w:val="center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洛阳轨道交通控制中心</w:t>
            </w:r>
          </w:p>
        </w:tc>
        <w:tc>
          <w:tcPr>
            <w:tcW w:w="1924" w:type="dxa"/>
            <w:vAlign w:val="center"/>
          </w:tcPr>
          <w:p>
            <w:pPr>
              <w:pStyle w:val="3"/>
              <w:jc w:val="center"/>
              <w:rPr>
                <w:rFonts w:hint="default" w:ascii="微软雅黑" w:hAnsi="微软雅黑" w:eastAsia="微软雅黑" w:cs="微软雅黑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18" w:type="dxa"/>
            <w:vAlign w:val="center"/>
          </w:tcPr>
          <w:p>
            <w:pPr>
              <w:pStyle w:val="3"/>
              <w:jc w:val="center"/>
              <w:rPr>
                <w:rFonts w:hint="default" w:ascii="微软雅黑" w:hAnsi="微软雅黑" w:eastAsia="微软雅黑" w:cs="微软雅黑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11" w:type="dxa"/>
            <w:vAlign w:val="center"/>
          </w:tcPr>
          <w:p>
            <w:pPr>
              <w:pStyle w:val="3"/>
              <w:jc w:val="center"/>
              <w:rPr>
                <w:rFonts w:hint="default" w:ascii="微软雅黑" w:hAnsi="微软雅黑" w:eastAsia="微软雅黑" w:cs="微软雅黑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03" w:type="dxa"/>
            <w:vAlign w:val="center"/>
          </w:tcPr>
          <w:p>
            <w:pPr>
              <w:pStyle w:val="3"/>
              <w:jc w:val="center"/>
              <w:rPr>
                <w:rFonts w:hint="default" w:ascii="微软雅黑" w:hAnsi="微软雅黑" w:eastAsia="微软雅黑" w:cs="微软雅黑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vAlign w:val="center"/>
          </w:tcPr>
          <w:p>
            <w:pPr>
              <w:pStyle w:val="3"/>
              <w:jc w:val="center"/>
              <w:rPr>
                <w:rFonts w:hint="default" w:ascii="微软雅黑" w:hAnsi="微软雅黑" w:eastAsia="微软雅黑" w:cs="微软雅黑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655" w:type="dxa"/>
            <w:vAlign w:val="center"/>
          </w:tcPr>
          <w:p>
            <w:pPr>
              <w:spacing w:before="235" w:line="226" w:lineRule="auto"/>
              <w:jc w:val="center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红山车辆段</w:t>
            </w:r>
          </w:p>
        </w:tc>
        <w:tc>
          <w:tcPr>
            <w:tcW w:w="1924" w:type="dxa"/>
            <w:vAlign w:val="center"/>
          </w:tcPr>
          <w:p>
            <w:pPr>
              <w:pStyle w:val="3"/>
              <w:jc w:val="center"/>
              <w:rPr>
                <w:rFonts w:hint="default" w:ascii="微软雅黑" w:hAnsi="微软雅黑" w:eastAsia="微软雅黑" w:cs="微软雅黑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18" w:type="dxa"/>
            <w:vAlign w:val="center"/>
          </w:tcPr>
          <w:p>
            <w:pPr>
              <w:pStyle w:val="3"/>
              <w:jc w:val="center"/>
              <w:rPr>
                <w:rFonts w:hint="default" w:ascii="微软雅黑" w:hAnsi="微软雅黑" w:eastAsia="微软雅黑" w:cs="微软雅黑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11" w:type="dxa"/>
            <w:vAlign w:val="center"/>
          </w:tcPr>
          <w:p>
            <w:pPr>
              <w:pStyle w:val="3"/>
              <w:jc w:val="center"/>
              <w:rPr>
                <w:rFonts w:hint="default" w:ascii="微软雅黑" w:hAnsi="微软雅黑" w:eastAsia="微软雅黑" w:cs="微软雅黑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03" w:type="dxa"/>
            <w:vAlign w:val="center"/>
          </w:tcPr>
          <w:p>
            <w:pPr>
              <w:pStyle w:val="3"/>
              <w:jc w:val="center"/>
              <w:rPr>
                <w:rFonts w:hint="default" w:ascii="微软雅黑" w:hAnsi="微软雅黑" w:eastAsia="微软雅黑" w:cs="微软雅黑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vAlign w:val="center"/>
          </w:tcPr>
          <w:p>
            <w:pPr>
              <w:pStyle w:val="3"/>
              <w:jc w:val="center"/>
              <w:rPr>
                <w:rFonts w:hint="default" w:ascii="微软雅黑" w:hAnsi="微软雅黑" w:eastAsia="微软雅黑" w:cs="微软雅黑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1655" w:type="dxa"/>
            <w:vAlign w:val="center"/>
          </w:tcPr>
          <w:p>
            <w:pPr>
              <w:spacing w:before="235" w:line="226" w:lineRule="auto"/>
              <w:jc w:val="center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瀍东停车场</w:t>
            </w:r>
          </w:p>
        </w:tc>
        <w:tc>
          <w:tcPr>
            <w:tcW w:w="1924" w:type="dxa"/>
            <w:vAlign w:val="center"/>
          </w:tcPr>
          <w:p>
            <w:pPr>
              <w:pStyle w:val="3"/>
              <w:jc w:val="center"/>
              <w:rPr>
                <w:rFonts w:hint="default" w:ascii="微软雅黑" w:hAnsi="微软雅黑" w:eastAsia="微软雅黑" w:cs="微软雅黑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18" w:type="dxa"/>
            <w:vAlign w:val="center"/>
          </w:tcPr>
          <w:p>
            <w:pPr>
              <w:pStyle w:val="3"/>
              <w:jc w:val="center"/>
              <w:rPr>
                <w:rFonts w:hint="default" w:ascii="微软雅黑" w:hAnsi="微软雅黑" w:eastAsia="微软雅黑" w:cs="微软雅黑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11" w:type="dxa"/>
            <w:vAlign w:val="center"/>
          </w:tcPr>
          <w:p>
            <w:pPr>
              <w:pStyle w:val="3"/>
              <w:jc w:val="center"/>
              <w:rPr>
                <w:rFonts w:hint="default" w:ascii="微软雅黑" w:hAnsi="微软雅黑" w:eastAsia="微软雅黑" w:cs="微软雅黑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03" w:type="dxa"/>
            <w:vAlign w:val="center"/>
          </w:tcPr>
          <w:p>
            <w:pPr>
              <w:pStyle w:val="3"/>
              <w:jc w:val="center"/>
              <w:rPr>
                <w:rFonts w:hint="default" w:ascii="微软雅黑" w:hAnsi="微软雅黑" w:eastAsia="微软雅黑" w:cs="微软雅黑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vAlign w:val="center"/>
          </w:tcPr>
          <w:p>
            <w:pPr>
              <w:pStyle w:val="3"/>
              <w:jc w:val="center"/>
              <w:rPr>
                <w:rFonts w:hint="default" w:ascii="微软雅黑" w:hAnsi="微软雅黑" w:eastAsia="微软雅黑" w:cs="微软雅黑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1655" w:type="dxa"/>
            <w:vAlign w:val="center"/>
          </w:tcPr>
          <w:p>
            <w:pPr>
              <w:spacing w:before="235" w:line="226" w:lineRule="auto"/>
              <w:jc w:val="center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刘富村车辆段</w:t>
            </w:r>
          </w:p>
        </w:tc>
        <w:tc>
          <w:tcPr>
            <w:tcW w:w="1924" w:type="dxa"/>
            <w:vAlign w:val="center"/>
          </w:tcPr>
          <w:p>
            <w:pPr>
              <w:pStyle w:val="3"/>
              <w:jc w:val="center"/>
              <w:rPr>
                <w:rFonts w:hint="default" w:ascii="微软雅黑" w:hAnsi="微软雅黑" w:eastAsia="微软雅黑" w:cs="微软雅黑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18" w:type="dxa"/>
            <w:vAlign w:val="center"/>
          </w:tcPr>
          <w:p>
            <w:pPr>
              <w:pStyle w:val="3"/>
              <w:jc w:val="center"/>
              <w:rPr>
                <w:rFonts w:hint="default" w:ascii="微软雅黑" w:hAnsi="微软雅黑" w:eastAsia="微软雅黑" w:cs="微软雅黑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11" w:type="dxa"/>
            <w:vAlign w:val="center"/>
          </w:tcPr>
          <w:p>
            <w:pPr>
              <w:pStyle w:val="3"/>
              <w:jc w:val="center"/>
              <w:rPr>
                <w:rFonts w:hint="default" w:ascii="微软雅黑" w:hAnsi="微软雅黑" w:eastAsia="微软雅黑" w:cs="微软雅黑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03" w:type="dxa"/>
            <w:vAlign w:val="center"/>
          </w:tcPr>
          <w:p>
            <w:pPr>
              <w:pStyle w:val="3"/>
              <w:jc w:val="center"/>
              <w:rPr>
                <w:rFonts w:hint="default" w:ascii="微软雅黑" w:hAnsi="微软雅黑" w:eastAsia="微软雅黑" w:cs="微软雅黑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vAlign w:val="center"/>
          </w:tcPr>
          <w:p>
            <w:pPr>
              <w:pStyle w:val="3"/>
              <w:jc w:val="center"/>
              <w:rPr>
                <w:rFonts w:hint="default" w:ascii="微软雅黑" w:hAnsi="微软雅黑" w:eastAsia="微软雅黑" w:cs="微软雅黑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1655" w:type="dxa"/>
            <w:vAlign w:val="center"/>
          </w:tcPr>
          <w:p>
            <w:pPr>
              <w:spacing w:before="235" w:line="226" w:lineRule="auto"/>
              <w:jc w:val="center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火车站枢纽</w:t>
            </w:r>
          </w:p>
        </w:tc>
        <w:tc>
          <w:tcPr>
            <w:tcW w:w="1924" w:type="dxa"/>
            <w:vAlign w:val="center"/>
          </w:tcPr>
          <w:p>
            <w:pPr>
              <w:pStyle w:val="3"/>
              <w:jc w:val="center"/>
              <w:rPr>
                <w:rFonts w:hint="default" w:ascii="微软雅黑" w:hAnsi="微软雅黑" w:eastAsia="微软雅黑" w:cs="微软雅黑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18" w:type="dxa"/>
            <w:vAlign w:val="center"/>
          </w:tcPr>
          <w:p>
            <w:pPr>
              <w:pStyle w:val="3"/>
              <w:jc w:val="center"/>
              <w:rPr>
                <w:rFonts w:hint="default" w:ascii="微软雅黑" w:hAnsi="微软雅黑" w:eastAsia="微软雅黑" w:cs="微软雅黑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11" w:type="dxa"/>
            <w:vAlign w:val="center"/>
          </w:tcPr>
          <w:p>
            <w:pPr>
              <w:pStyle w:val="3"/>
              <w:jc w:val="center"/>
              <w:rPr>
                <w:rFonts w:hint="default" w:ascii="微软雅黑" w:hAnsi="微软雅黑" w:eastAsia="微软雅黑" w:cs="微软雅黑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03" w:type="dxa"/>
            <w:vAlign w:val="center"/>
          </w:tcPr>
          <w:p>
            <w:pPr>
              <w:pStyle w:val="3"/>
              <w:jc w:val="center"/>
              <w:rPr>
                <w:rFonts w:hint="default" w:ascii="微软雅黑" w:hAnsi="微软雅黑" w:eastAsia="微软雅黑" w:cs="微软雅黑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vAlign w:val="center"/>
          </w:tcPr>
          <w:p>
            <w:pPr>
              <w:spacing w:before="235" w:line="226" w:lineRule="auto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1655" w:type="dxa"/>
            <w:vAlign w:val="center"/>
          </w:tcPr>
          <w:p>
            <w:pPr>
              <w:spacing w:before="235" w:line="226" w:lineRule="auto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龙门枢纽</w:t>
            </w:r>
          </w:p>
        </w:tc>
        <w:tc>
          <w:tcPr>
            <w:tcW w:w="1924" w:type="dxa"/>
            <w:vAlign w:val="center"/>
          </w:tcPr>
          <w:p>
            <w:pPr>
              <w:pStyle w:val="3"/>
              <w:jc w:val="center"/>
              <w:rPr>
                <w:rFonts w:hint="default" w:ascii="微软雅黑" w:hAnsi="微软雅黑" w:eastAsia="微软雅黑" w:cs="微软雅黑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18" w:type="dxa"/>
            <w:vAlign w:val="center"/>
          </w:tcPr>
          <w:p>
            <w:pPr>
              <w:pStyle w:val="3"/>
              <w:jc w:val="center"/>
              <w:rPr>
                <w:rFonts w:hint="default" w:ascii="微软雅黑" w:hAnsi="微软雅黑" w:eastAsia="微软雅黑" w:cs="微软雅黑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11" w:type="dxa"/>
            <w:vAlign w:val="center"/>
          </w:tcPr>
          <w:p>
            <w:pPr>
              <w:pStyle w:val="3"/>
              <w:jc w:val="center"/>
              <w:rPr>
                <w:rFonts w:hint="default" w:ascii="微软雅黑" w:hAnsi="微软雅黑" w:eastAsia="微软雅黑" w:cs="微软雅黑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03" w:type="dxa"/>
            <w:vAlign w:val="center"/>
          </w:tcPr>
          <w:p>
            <w:pPr>
              <w:pStyle w:val="3"/>
              <w:jc w:val="center"/>
              <w:rPr>
                <w:rFonts w:hint="default" w:ascii="微软雅黑" w:hAnsi="微软雅黑" w:eastAsia="微软雅黑" w:cs="微软雅黑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2" w:type="dxa"/>
            <w:gridSpan w:val="2"/>
            <w:vAlign w:val="center"/>
          </w:tcPr>
          <w:p>
            <w:pPr>
              <w:spacing w:before="235" w:line="226" w:lineRule="auto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合计</w:t>
            </w:r>
          </w:p>
        </w:tc>
        <w:tc>
          <w:tcPr>
            <w:tcW w:w="1924" w:type="dxa"/>
            <w:vAlign w:val="center"/>
          </w:tcPr>
          <w:p>
            <w:pPr>
              <w:pStyle w:val="3"/>
              <w:jc w:val="center"/>
              <w:rPr>
                <w:rFonts w:hint="default" w:ascii="微软雅黑" w:hAnsi="微软雅黑" w:eastAsia="微软雅黑" w:cs="微软雅黑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18" w:type="dxa"/>
            <w:vAlign w:val="center"/>
          </w:tcPr>
          <w:p>
            <w:pPr>
              <w:pStyle w:val="3"/>
              <w:jc w:val="center"/>
              <w:rPr>
                <w:rFonts w:hint="default" w:ascii="微软雅黑" w:hAnsi="微软雅黑" w:eastAsia="微软雅黑" w:cs="微软雅黑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11" w:type="dxa"/>
            <w:vAlign w:val="center"/>
          </w:tcPr>
          <w:p>
            <w:pPr>
              <w:pStyle w:val="3"/>
              <w:jc w:val="center"/>
              <w:rPr>
                <w:rFonts w:hint="default" w:ascii="微软雅黑" w:hAnsi="微软雅黑" w:eastAsia="微软雅黑" w:cs="微软雅黑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03" w:type="dxa"/>
            <w:vAlign w:val="center"/>
          </w:tcPr>
          <w:p>
            <w:pPr>
              <w:pStyle w:val="3"/>
              <w:jc w:val="center"/>
              <w:rPr>
                <w:rFonts w:hint="default" w:ascii="微软雅黑" w:hAnsi="微软雅黑" w:eastAsia="微软雅黑" w:cs="微软雅黑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2" w:type="dxa"/>
            <w:gridSpan w:val="2"/>
            <w:vAlign w:val="center"/>
          </w:tcPr>
          <w:p>
            <w:pPr>
              <w:spacing w:before="235" w:line="226" w:lineRule="auto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生活垃圾+餐厨垃圾总报价</w:t>
            </w:r>
          </w:p>
        </w:tc>
        <w:tc>
          <w:tcPr>
            <w:tcW w:w="1924" w:type="dxa"/>
            <w:vAlign w:val="center"/>
          </w:tcPr>
          <w:p>
            <w:pPr>
              <w:pStyle w:val="3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 xml:space="preserve">（含税） </w:t>
            </w:r>
          </w:p>
          <w:p>
            <w:pPr>
              <w:pStyle w:val="3"/>
              <w:jc w:val="center"/>
              <w:rPr>
                <w:rFonts w:hint="default" w:ascii="微软雅黑" w:hAnsi="微软雅黑" w:eastAsia="微软雅黑" w:cs="微软雅黑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（元/月）</w:t>
            </w:r>
          </w:p>
        </w:tc>
        <w:tc>
          <w:tcPr>
            <w:tcW w:w="4132" w:type="dxa"/>
            <w:gridSpan w:val="3"/>
            <w:vAlign w:val="center"/>
          </w:tcPr>
          <w:p>
            <w:pPr>
              <w:pStyle w:val="3"/>
              <w:jc w:val="center"/>
              <w:rPr>
                <w:rFonts w:hint="default" w:ascii="微软雅黑" w:hAnsi="微软雅黑" w:eastAsia="微软雅黑" w:cs="微软雅黑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pStyle w:val="3"/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>
      <w:pPr>
        <w:pStyle w:val="3"/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经办人：                   联系电话：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37FC51CF-E722-4B11-A9A5-1F475203346C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3ECF9257-234E-4586-A95B-3CC9834B6932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3" w:fontKey="{E827EA67-2B1F-469E-B783-CCBE11B3460D}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4870B4F"/>
    <w:multiLevelType w:val="singleLevel"/>
    <w:tmpl w:val="A4870B4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7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BhZjQ5Y2U5NDhlOWY5OTIyMWYyY2FlMWZlNmY2MTkifQ=="/>
    <w:docVar w:name="KSO_WPS_MARK_KEY" w:val="00c986c7-1667-4c57-aa06-78ca321e9eda"/>
  </w:docVars>
  <w:rsids>
    <w:rsidRoot w:val="00000000"/>
    <w:rsid w:val="0077078C"/>
    <w:rsid w:val="0AEC53A6"/>
    <w:rsid w:val="0EDE000B"/>
    <w:rsid w:val="120B413D"/>
    <w:rsid w:val="189B5C5E"/>
    <w:rsid w:val="1C177525"/>
    <w:rsid w:val="1DAB6F39"/>
    <w:rsid w:val="1FA07FE7"/>
    <w:rsid w:val="256A4F48"/>
    <w:rsid w:val="25B67282"/>
    <w:rsid w:val="2D6E2CD7"/>
    <w:rsid w:val="2DF93734"/>
    <w:rsid w:val="2FEC4514"/>
    <w:rsid w:val="317A2E74"/>
    <w:rsid w:val="36B81D5A"/>
    <w:rsid w:val="399E0278"/>
    <w:rsid w:val="3CB667D6"/>
    <w:rsid w:val="432838F9"/>
    <w:rsid w:val="43EE6B05"/>
    <w:rsid w:val="47C737CE"/>
    <w:rsid w:val="4DE5468D"/>
    <w:rsid w:val="4EFF658A"/>
    <w:rsid w:val="50C72E88"/>
    <w:rsid w:val="5D37327A"/>
    <w:rsid w:val="5FF33B0A"/>
    <w:rsid w:val="62BD5769"/>
    <w:rsid w:val="62D460A8"/>
    <w:rsid w:val="6597104B"/>
    <w:rsid w:val="68353CFB"/>
    <w:rsid w:val="68882CE8"/>
    <w:rsid w:val="68C1582A"/>
    <w:rsid w:val="6C1B70A4"/>
    <w:rsid w:val="6EC01BFA"/>
    <w:rsid w:val="70633F6A"/>
    <w:rsid w:val="716E6788"/>
    <w:rsid w:val="717E613F"/>
    <w:rsid w:val="73473008"/>
    <w:rsid w:val="74553977"/>
    <w:rsid w:val="77AF1F02"/>
    <w:rsid w:val="7F422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ind w:firstLine="420"/>
    </w:pPr>
    <w:rPr>
      <w:sz w:val="28"/>
      <w:szCs w:val="28"/>
    </w:rPr>
  </w:style>
  <w:style w:type="paragraph" w:styleId="3">
    <w:name w:val="Plain Text"/>
    <w:basedOn w:val="1"/>
    <w:qFormat/>
    <w:uiPriority w:val="0"/>
    <w:rPr>
      <w:rFonts w:eastAsia="Courier New"/>
      <w:sz w:val="20"/>
      <w:szCs w:val="20"/>
    </w:rPr>
  </w:style>
  <w:style w:type="paragraph" w:styleId="4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5">
    <w:name w:val="Body Text First Indent 2"/>
    <w:basedOn w:val="4"/>
    <w:qFormat/>
    <w:uiPriority w:val="0"/>
    <w:pPr>
      <w:spacing w:after="200"/>
      <w:ind w:left="0" w:leftChars="0" w:firstLine="420" w:firstLineChars="200"/>
    </w:pPr>
    <w:rPr>
      <w:rFonts w:hint="eastAsia" w:ascii="Times New Roman" w:hAnsi="Times New Roman" w:eastAsia="楷体_GB2312" w:cs="Times New Roman"/>
      <w:sz w:val="32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1704</Words>
  <Characters>1804</Characters>
  <Lines>0</Lines>
  <Paragraphs>0</Paragraphs>
  <TotalTime>1</TotalTime>
  <ScaleCrop>false</ScaleCrop>
  <LinksUpToDate>false</LinksUpToDate>
  <CharactersWithSpaces>1834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张爱丽</cp:lastModifiedBy>
  <dcterms:modified xsi:type="dcterms:W3CDTF">2024-09-20T02:34:58Z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2F513504DB4D43A4AD6869B99751BB4E</vt:lpwstr>
  </property>
</Properties>
</file>