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洛阳轨道物业管理有限公司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2025年度清洁服务招标项目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01标段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需求书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概况</w:t>
      </w:r>
    </w:p>
    <w:p>
      <w:pPr>
        <w:numPr>
          <w:ilvl w:val="0"/>
          <w:numId w:val="0"/>
        </w:numPr>
        <w:spacing w:before="78" w:line="215" w:lineRule="auto"/>
        <w:ind w:firstLine="608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项目为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洛阳轨道物业管理有限公司2025年度清洁服务招标项目01标段，为洛阳轨道物业管理有限公司下辖各物业项目提供垃圾清运服务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spacing w:before="78" w:line="215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服务期限</w:t>
      </w:r>
    </w:p>
    <w:p>
      <w:pPr>
        <w:numPr>
          <w:ilvl w:val="0"/>
          <w:numId w:val="0"/>
        </w:numPr>
        <w:spacing w:before="78" w:line="215" w:lineRule="auto"/>
        <w:ind w:firstLine="624" w:firstLineChars="200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18个月，具体起始时间以甲方下发的入场通知书为准。</w:t>
      </w:r>
    </w:p>
    <w:p>
      <w:pPr>
        <w:numPr>
          <w:ilvl w:val="0"/>
          <w:numId w:val="1"/>
        </w:numPr>
        <w:spacing w:before="78" w:line="215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满足《中华人民共和国政府采购法》第二十二条规定；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落实政府采购政策满足的资格要求：面向中小微企业采购。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具有城市管理部门办法的有效的《洛阳市城市生活垃圾经营性清扫、收集、运输、处理服务许可证》或《洛阳市城市生活垃圾经营性处理服务许可证》。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项目概况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1.生活垃圾</w:t>
      </w:r>
    </w:p>
    <w:tbl>
      <w:tblPr>
        <w:tblStyle w:val="9"/>
        <w:tblW w:w="510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354"/>
        <w:gridCol w:w="2116"/>
        <w:gridCol w:w="2417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所在位置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每日垃圾预计桶数（240L/桶）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洛阳轨道交通控制中心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洛阳市洛龙区通衢路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207号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约7桶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红山车辆段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洛阳市西工区滤润大道0576号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约11桶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办公园区、</w:t>
            </w:r>
          </w:p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公寓宿舍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瀍东停车场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洛阳市公安局轨道交通分局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约4桶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刘富村车辆段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洛阳市洛龙区伊洛路201号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约10桶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办公园区、</w:t>
            </w:r>
          </w:p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公寓宿舍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火车站枢纽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西工区洛阳站下方停车场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停车场及公共通道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4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龙门枢纽</w:t>
            </w:r>
          </w:p>
        </w:tc>
        <w:tc>
          <w:tcPr>
            <w:tcW w:w="1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洛龙区通衢路洛阳龙门站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下方停车场</w:t>
            </w:r>
          </w:p>
        </w:tc>
        <w:tc>
          <w:tcPr>
            <w:tcW w:w="14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约4桶</w:t>
            </w:r>
          </w:p>
        </w:tc>
        <w:tc>
          <w:tcPr>
            <w:tcW w:w="11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停车场及公共通道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说明：以上数据仅供报价参考，并不代表每日实际数量。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27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2.餐厨垃圾（泔水）</w:t>
      </w:r>
    </w:p>
    <w:tbl>
      <w:tblPr>
        <w:tblStyle w:val="9"/>
        <w:tblW w:w="508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533"/>
        <w:gridCol w:w="1832"/>
        <w:gridCol w:w="2842"/>
        <w:gridCol w:w="1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位置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每日垃圾预计桶数（240L/桶）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5" w:lineRule="auto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lang w:val="en-US" w:eastAsia="zh-CN"/>
                <w14:textOutline w14:w="35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洛阳轨道交通控制中心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洛阳市洛龙区通衢路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207号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ind w:left="299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红山车辆段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洛阳市西工区滤润大道0576号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瀍东停车场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洛阳市公安局轨道交通分局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刘富村车辆段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洛阳市洛龙区伊洛路201号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约2桶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职工餐厅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火车站枢纽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西工区洛阳站下方停车场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约3桶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商铺餐饮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3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7" w:lineRule="auto"/>
              <w:ind w:left="2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龙门枢纽</w:t>
            </w:r>
          </w:p>
        </w:tc>
        <w:tc>
          <w:tcPr>
            <w:tcW w:w="10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4" w:lineRule="auto"/>
              <w:jc w:val="center"/>
              <w:rPr>
                <w:rFonts w:hint="default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eastAsia="zh-CN"/>
              </w:rPr>
              <w:t>洛龙区通衢路洛阳龙门站</w:t>
            </w: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  <w:highlight w:val="none"/>
                <w:lang w:val="en-US" w:eastAsia="zh-CN"/>
              </w:rPr>
              <w:t>下方停车场</w:t>
            </w:r>
          </w:p>
        </w:tc>
        <w:tc>
          <w:tcPr>
            <w:tcW w:w="16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highlight w:val="none"/>
                <w:lang w:val="en-US" w:eastAsia="zh-CN"/>
              </w:rPr>
              <w:t>约4桶</w:t>
            </w:r>
          </w:p>
        </w:tc>
        <w:tc>
          <w:tcPr>
            <w:tcW w:w="100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186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highlight w:val="none"/>
                <w:lang w:val="en-US" w:eastAsia="zh-CN"/>
              </w:rPr>
              <w:t>商铺餐饮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说明：以上数据仅供报价参考，并不代表每日实际数量。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五、服务内容及要求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1、项目内垃圾做到日产日清，完成清运工作，同时对垃圾进行消杀、无害化处理。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2、垃圾清运过程中车辆必须封闭，无撒露现象，对清运车辆及时维护保养，保持垃圾清运车干净卫生，确保正常、安全、高效运转。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3、垃圾清运车辆在项目内清运垃圾时，应做到低速行驶、禁止鸣笛，如若出现车辆剐蹭造成设施设备、人员等健康、财产损失的，由服务方负责。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4、避免因垃圾清运不及时被媒体报道、员工投诉等造成恶劣影响。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5、生活垃圾须清运至垃圾处理厂，按规定路线安全行驶，不能随意倾倒。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6、服从采购人工作安排，遵守采购人物业管理规章制度，不得无故旷运（如有特殊情况，必须在12小时内予以处理完毕）。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7、符合城市管理局关于《洛阳市电动（燃油）三轮车低速电动自行车综合三年行动实施方案》的相关规定。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8、配合采购人在项目内其他类别的垃圾清运。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9、服务方在清运过程中有损坏其他公用设施的，服务方负责照价赔偿。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10、服务方负责垃圾清运人员的工资、劳保、福利、培训等全部费用。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11、服务方负责垃圾清运车辆及人员的安全责任。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附件2：</w:t>
      </w:r>
    </w:p>
    <w:p>
      <w:pPr>
        <w:pStyle w:val="3"/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2025年度清洁服务项目01标询价报价表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报价单位：（盖章）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55"/>
        <w:gridCol w:w="1924"/>
        <w:gridCol w:w="2018"/>
        <w:gridCol w:w="911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生活垃圾报价（含税）</w:t>
            </w:r>
          </w:p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（元/月）</w:t>
            </w: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餐厨垃圾报价（含税）</w:t>
            </w:r>
          </w:p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（元/月）</w:t>
            </w: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税率（%）</w:t>
            </w: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洛阳轨道交通控制中心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红山车辆段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瀍东停车场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刘富村车辆段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火车站枢纽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55" w:type="dxa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龙门枢纽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gridSpan w:val="2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gridSpan w:val="2"/>
            <w:vAlign w:val="center"/>
          </w:tcPr>
          <w:p>
            <w:pPr>
              <w:spacing w:before="235" w:line="22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生活垃圾+餐厨垃圾总报价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（含税） </w:t>
            </w:r>
          </w:p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（元/月）</w:t>
            </w:r>
          </w:p>
        </w:tc>
        <w:tc>
          <w:tcPr>
            <w:tcW w:w="4132" w:type="dxa"/>
            <w:gridSpan w:val="3"/>
            <w:vAlign w:val="center"/>
          </w:tcPr>
          <w:p>
            <w:pPr>
              <w:pStyle w:val="3"/>
              <w:jc w:val="center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经办人：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CA0E70-AEF4-4527-98F7-FE8629CBA7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137DDC-5C4B-44BC-AFBA-70D6063DF6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2B7B95E-2733-452E-8DB9-E61DD721795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F04AB37-B659-4DE9-AE10-6D43AEC86B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70B4F"/>
    <w:multiLevelType w:val="singleLevel"/>
    <w:tmpl w:val="A487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ZmYzN2VkYWU2ZjIxM2EyZmUzYzAwMGJiYWRlN2QifQ=="/>
    <w:docVar w:name="KSO_WPS_MARK_KEY" w:val="00c986c7-1667-4c57-aa06-78ca321e9eda"/>
  </w:docVars>
  <w:rsids>
    <w:rsidRoot w:val="00000000"/>
    <w:rsid w:val="0AEC53A6"/>
    <w:rsid w:val="0EDE000B"/>
    <w:rsid w:val="120B413D"/>
    <w:rsid w:val="189B5C5E"/>
    <w:rsid w:val="1A951111"/>
    <w:rsid w:val="1C177525"/>
    <w:rsid w:val="1DAB6F39"/>
    <w:rsid w:val="1FA07FE7"/>
    <w:rsid w:val="256A4F48"/>
    <w:rsid w:val="25B67282"/>
    <w:rsid w:val="2D6E2CD7"/>
    <w:rsid w:val="2DF93734"/>
    <w:rsid w:val="2FEC4514"/>
    <w:rsid w:val="317A2E74"/>
    <w:rsid w:val="36B81D5A"/>
    <w:rsid w:val="3CB667D6"/>
    <w:rsid w:val="432838F9"/>
    <w:rsid w:val="43EE6B05"/>
    <w:rsid w:val="47C737CE"/>
    <w:rsid w:val="4EFF658A"/>
    <w:rsid w:val="50C72E88"/>
    <w:rsid w:val="5D37327A"/>
    <w:rsid w:val="5FF33B0A"/>
    <w:rsid w:val="62BD5769"/>
    <w:rsid w:val="62D460A8"/>
    <w:rsid w:val="6597104B"/>
    <w:rsid w:val="68353CFB"/>
    <w:rsid w:val="68882CE8"/>
    <w:rsid w:val="68C1582A"/>
    <w:rsid w:val="6A316F44"/>
    <w:rsid w:val="6C1B70A4"/>
    <w:rsid w:val="6EC01BFA"/>
    <w:rsid w:val="70633F6A"/>
    <w:rsid w:val="716E6788"/>
    <w:rsid w:val="717E613F"/>
    <w:rsid w:val="73473008"/>
    <w:rsid w:val="74553977"/>
    <w:rsid w:val="77AF1F02"/>
    <w:rsid w:val="7BC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 w:val="28"/>
      <w:szCs w:val="28"/>
    </w:rPr>
  </w:style>
  <w:style w:type="paragraph" w:styleId="3">
    <w:name w:val="Plain Text"/>
    <w:basedOn w:val="1"/>
    <w:qFormat/>
    <w:uiPriority w:val="0"/>
    <w:rPr>
      <w:rFonts w:eastAsia="Courier New"/>
      <w:sz w:val="20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200"/>
      <w:ind w:left="0" w:leftChars="0" w:firstLine="420" w:firstLineChars="200"/>
    </w:pPr>
    <w:rPr>
      <w:rFonts w:hint="eastAsia" w:ascii="Times New Roman" w:hAnsi="Times New Roman" w:eastAsia="楷体_GB2312" w:cs="Times New Roman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1283</Words>
  <Characters>1325</Characters>
  <Lines>0</Lines>
  <Paragraphs>0</Paragraphs>
  <TotalTime>4</TotalTime>
  <ScaleCrop>false</ScaleCrop>
  <LinksUpToDate>false</LinksUpToDate>
  <CharactersWithSpaces>1345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孙海瑜</cp:lastModifiedBy>
  <dcterms:modified xsi:type="dcterms:W3CDTF">2024-08-22T10:05:32Z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2F513504DB4D43A4AD6869B99751BB4E</vt:lpwstr>
  </property>
</Properties>
</file>