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EF29F">
      <w:pPr>
        <w:jc w:val="center"/>
        <w:rPr>
          <w:rFonts w:hint="eastAsia" w:ascii="方正小标宋简体" w:hAnsi="方正小标宋简体" w:eastAsia="方正小标宋简体" w:cs="方正小标宋简体"/>
          <w:b/>
          <w:bCs/>
          <w:sz w:val="44"/>
          <w:szCs w:val="44"/>
          <w:highlight w:val="none"/>
          <w:lang w:val="en-US" w:eastAsia="zh-CN"/>
        </w:rPr>
      </w:pPr>
      <w:bookmarkStart w:id="0" w:name="_GoBack"/>
      <w:bookmarkEnd w:id="0"/>
      <w:r>
        <w:rPr>
          <w:rFonts w:hint="eastAsia" w:ascii="方正小标宋简体" w:hAnsi="方正小标宋简体" w:eastAsia="方正小标宋简体" w:cs="方正小标宋简体"/>
          <w:b/>
          <w:bCs/>
          <w:sz w:val="44"/>
          <w:szCs w:val="44"/>
          <w:highlight w:val="none"/>
          <w:lang w:val="en-US" w:eastAsia="zh-CN"/>
        </w:rPr>
        <w:t>洛阳市轨道交通集团有限责任公司运营分公司2024年客流营销项目-评审办法</w:t>
      </w:r>
    </w:p>
    <w:p w14:paraId="6D5693AF">
      <w:pPr>
        <w:pStyle w:val="5"/>
        <w:rPr>
          <w:rFonts w:hint="eastAsia"/>
          <w:lang w:val="en-US"/>
        </w:rPr>
      </w:pPr>
    </w:p>
    <w:tbl>
      <w:tblPr>
        <w:tblStyle w:val="3"/>
        <w:tblW w:w="517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1015"/>
        <w:gridCol w:w="1480"/>
        <w:gridCol w:w="725"/>
        <w:gridCol w:w="3354"/>
        <w:gridCol w:w="1444"/>
      </w:tblGrid>
      <w:tr w14:paraId="6EB27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exact"/>
        </w:trPr>
        <w:tc>
          <w:tcPr>
            <w:tcW w:w="934" w:type="pct"/>
            <w:gridSpan w:val="2"/>
            <w:noWrap w:val="0"/>
            <w:vAlign w:val="center"/>
          </w:tcPr>
          <w:p w14:paraId="3557EBAB">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b/>
                <w:sz w:val="20"/>
                <w:szCs w:val="20"/>
                <w:highlight w:val="none"/>
              </w:rPr>
            </w:pPr>
            <w:r>
              <w:rPr>
                <w:rFonts w:hint="default" w:ascii="Times New Roman" w:hAnsi="Times New Roman" w:cs="Times New Roman"/>
                <w:b/>
                <w:sz w:val="20"/>
                <w:szCs w:val="20"/>
                <w:highlight w:val="none"/>
              </w:rPr>
              <w:t>条款号</w:t>
            </w:r>
          </w:p>
        </w:tc>
        <w:tc>
          <w:tcPr>
            <w:tcW w:w="859" w:type="pct"/>
            <w:noWrap w:val="0"/>
            <w:vAlign w:val="center"/>
          </w:tcPr>
          <w:p w14:paraId="423C86D4">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b/>
                <w:sz w:val="20"/>
                <w:szCs w:val="20"/>
                <w:highlight w:val="none"/>
              </w:rPr>
            </w:pPr>
            <w:r>
              <w:rPr>
                <w:rFonts w:hint="default" w:ascii="Times New Roman" w:hAnsi="Times New Roman" w:cs="Times New Roman"/>
                <w:b/>
                <w:sz w:val="20"/>
                <w:szCs w:val="20"/>
                <w:highlight w:val="none"/>
              </w:rPr>
              <w:t>评审因素</w:t>
            </w:r>
          </w:p>
        </w:tc>
        <w:tc>
          <w:tcPr>
            <w:tcW w:w="3206" w:type="pct"/>
            <w:gridSpan w:val="3"/>
            <w:noWrap w:val="0"/>
            <w:vAlign w:val="center"/>
          </w:tcPr>
          <w:p w14:paraId="3B8082D4">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b/>
                <w:sz w:val="20"/>
                <w:szCs w:val="20"/>
                <w:highlight w:val="none"/>
              </w:rPr>
            </w:pPr>
            <w:r>
              <w:rPr>
                <w:rFonts w:hint="default" w:ascii="Times New Roman" w:hAnsi="Times New Roman" w:cs="Times New Roman"/>
                <w:b/>
                <w:sz w:val="20"/>
                <w:szCs w:val="20"/>
                <w:highlight w:val="none"/>
              </w:rPr>
              <w:t>评审标准</w:t>
            </w:r>
          </w:p>
        </w:tc>
      </w:tr>
      <w:tr w14:paraId="22AAB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345" w:type="pct"/>
            <w:noWrap w:val="0"/>
            <w:vAlign w:val="center"/>
          </w:tcPr>
          <w:p w14:paraId="02908015">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w:t>
            </w:r>
          </w:p>
        </w:tc>
        <w:tc>
          <w:tcPr>
            <w:tcW w:w="589" w:type="pct"/>
            <w:noWrap w:val="0"/>
            <w:vAlign w:val="center"/>
          </w:tcPr>
          <w:p w14:paraId="167B6969">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评审方法</w:t>
            </w:r>
          </w:p>
        </w:tc>
        <w:tc>
          <w:tcPr>
            <w:tcW w:w="859" w:type="pct"/>
            <w:noWrap w:val="0"/>
            <w:vAlign w:val="center"/>
          </w:tcPr>
          <w:p w14:paraId="75BA5080">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rPr>
              <w:t>成交候选人</w:t>
            </w:r>
          </w:p>
          <w:p w14:paraId="42075390">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排序方法</w:t>
            </w:r>
          </w:p>
        </w:tc>
        <w:tc>
          <w:tcPr>
            <w:tcW w:w="3206" w:type="pct"/>
            <w:gridSpan w:val="3"/>
            <w:noWrap w:val="0"/>
            <w:vAlign w:val="center"/>
          </w:tcPr>
          <w:p w14:paraId="2FB13DD9">
            <w:pPr>
              <w:keepNext w:val="0"/>
              <w:keepLines w:val="0"/>
              <w:pageBreakBefore w:val="0"/>
              <w:widowControl w:val="0"/>
              <w:kinsoku/>
              <w:wordWrap/>
              <w:overflowPunct/>
              <w:topLinePunct w:val="0"/>
              <w:bidi w:val="0"/>
              <w:snapToGrid/>
              <w:spacing w:line="240" w:lineRule="auto"/>
              <w:ind w:left="1" w:right="110" w:rightChars="50"/>
              <w:rPr>
                <w:rFonts w:hint="default" w:ascii="Times New Roman" w:hAnsi="Times New Roman" w:cs="Times New Roman"/>
                <w:sz w:val="18"/>
                <w:szCs w:val="18"/>
                <w:highlight w:val="none"/>
                <w:lang w:eastAsia="zh-CN"/>
              </w:rPr>
            </w:pPr>
            <w:r>
              <w:rPr>
                <w:rFonts w:hint="eastAsia" w:cs="Times New Roman"/>
                <w:sz w:val="18"/>
                <w:szCs w:val="18"/>
                <w:highlight w:val="none"/>
                <w:lang w:val="en-US" w:eastAsia="zh-CN"/>
              </w:rPr>
              <w:t>综合</w:t>
            </w:r>
            <w:r>
              <w:rPr>
                <w:rFonts w:hint="default" w:ascii="Times New Roman" w:hAnsi="Times New Roman" w:cs="Times New Roman"/>
                <w:sz w:val="18"/>
                <w:szCs w:val="18"/>
                <w:highlight w:val="none"/>
                <w:lang w:eastAsia="zh-CN"/>
              </w:rPr>
              <w:t>评分相等时，以响应报价低的优先</w:t>
            </w:r>
            <w:r>
              <w:rPr>
                <w:rFonts w:hint="eastAsia" w:cs="Times New Roman"/>
                <w:sz w:val="18"/>
                <w:szCs w:val="18"/>
                <w:highlight w:val="none"/>
                <w:lang w:eastAsia="zh-CN"/>
              </w:rPr>
              <w:t>；</w:t>
            </w:r>
            <w:r>
              <w:rPr>
                <w:rFonts w:hint="default" w:ascii="Times New Roman" w:hAnsi="Times New Roman" w:cs="Times New Roman"/>
                <w:sz w:val="18"/>
                <w:szCs w:val="18"/>
                <w:highlight w:val="none"/>
                <w:lang w:eastAsia="zh-CN"/>
              </w:rPr>
              <w:t>响应报价也相等的，以技术导分高的优先</w:t>
            </w:r>
            <w:r>
              <w:rPr>
                <w:rFonts w:hint="eastAsia" w:cs="Times New Roman"/>
                <w:sz w:val="18"/>
                <w:szCs w:val="18"/>
                <w:highlight w:val="none"/>
                <w:lang w:eastAsia="zh-CN"/>
              </w:rPr>
              <w:t>；</w:t>
            </w:r>
            <w:r>
              <w:rPr>
                <w:rFonts w:hint="default" w:ascii="Times New Roman" w:hAnsi="Times New Roman" w:cs="Times New Roman"/>
                <w:sz w:val="18"/>
                <w:szCs w:val="18"/>
                <w:highlight w:val="none"/>
                <w:lang w:eastAsia="zh-CN"/>
              </w:rPr>
              <w:t>如果技术得分也相等，由评审小组全体成员按照少数服从多数的原则，以记名投票方式表决。</w:t>
            </w:r>
          </w:p>
        </w:tc>
      </w:tr>
      <w:tr w14:paraId="12698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exact"/>
        </w:trPr>
        <w:tc>
          <w:tcPr>
            <w:tcW w:w="345" w:type="pct"/>
            <w:vMerge w:val="restart"/>
            <w:noWrap w:val="0"/>
            <w:vAlign w:val="center"/>
          </w:tcPr>
          <w:p w14:paraId="24E21E77">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2.1.1</w:t>
            </w:r>
          </w:p>
        </w:tc>
        <w:tc>
          <w:tcPr>
            <w:tcW w:w="589" w:type="pct"/>
            <w:vMerge w:val="restart"/>
            <w:noWrap w:val="0"/>
            <w:vAlign w:val="center"/>
          </w:tcPr>
          <w:p w14:paraId="4D9A32EC">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形式</w:t>
            </w:r>
          </w:p>
          <w:p w14:paraId="4F36279B">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评审标准</w:t>
            </w:r>
          </w:p>
        </w:tc>
        <w:tc>
          <w:tcPr>
            <w:tcW w:w="859" w:type="pct"/>
            <w:noWrap w:val="0"/>
            <w:vAlign w:val="center"/>
          </w:tcPr>
          <w:p w14:paraId="63EDFCE3">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响应人名称</w:t>
            </w:r>
          </w:p>
        </w:tc>
        <w:tc>
          <w:tcPr>
            <w:tcW w:w="3206" w:type="pct"/>
            <w:gridSpan w:val="3"/>
            <w:noWrap w:val="0"/>
            <w:vAlign w:val="center"/>
          </w:tcPr>
          <w:p w14:paraId="3172A552">
            <w:pPr>
              <w:keepNext w:val="0"/>
              <w:keepLines w:val="0"/>
              <w:pageBreakBefore w:val="0"/>
              <w:widowControl w:val="0"/>
              <w:kinsoku/>
              <w:wordWrap/>
              <w:overflowPunct/>
              <w:topLinePunct w:val="0"/>
              <w:bidi w:val="0"/>
              <w:snapToGrid/>
              <w:spacing w:line="240" w:lineRule="auto"/>
              <w:ind w:left="1" w:right="110" w:rightChars="50"/>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eastAsia="zh-CN"/>
              </w:rPr>
              <w:t>与营业执照副本或或其他有效的证明材料一致。</w:t>
            </w:r>
          </w:p>
        </w:tc>
      </w:tr>
      <w:tr w14:paraId="52862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exact"/>
        </w:trPr>
        <w:tc>
          <w:tcPr>
            <w:tcW w:w="345" w:type="pct"/>
            <w:vMerge w:val="continue"/>
            <w:noWrap w:val="0"/>
            <w:vAlign w:val="center"/>
          </w:tcPr>
          <w:p w14:paraId="717E3BE8">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eastAsia="zh-CN"/>
              </w:rPr>
            </w:pPr>
          </w:p>
        </w:tc>
        <w:tc>
          <w:tcPr>
            <w:tcW w:w="589" w:type="pct"/>
            <w:vMerge w:val="continue"/>
            <w:noWrap w:val="0"/>
            <w:vAlign w:val="center"/>
          </w:tcPr>
          <w:p w14:paraId="604F5F13">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eastAsia="zh-CN"/>
              </w:rPr>
            </w:pPr>
          </w:p>
        </w:tc>
        <w:tc>
          <w:tcPr>
            <w:tcW w:w="859" w:type="pct"/>
            <w:noWrap w:val="0"/>
            <w:vAlign w:val="center"/>
          </w:tcPr>
          <w:p w14:paraId="0AC852E9">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报价唯一</w:t>
            </w:r>
          </w:p>
        </w:tc>
        <w:tc>
          <w:tcPr>
            <w:tcW w:w="3206" w:type="pct"/>
            <w:gridSpan w:val="3"/>
            <w:noWrap w:val="0"/>
            <w:vAlign w:val="center"/>
          </w:tcPr>
          <w:p w14:paraId="10A60443">
            <w:pPr>
              <w:keepNext w:val="0"/>
              <w:keepLines w:val="0"/>
              <w:pageBreakBefore w:val="0"/>
              <w:widowControl w:val="0"/>
              <w:kinsoku/>
              <w:wordWrap/>
              <w:overflowPunct/>
              <w:topLinePunct w:val="0"/>
              <w:bidi w:val="0"/>
              <w:snapToGrid/>
              <w:spacing w:line="240" w:lineRule="auto"/>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rPr>
              <w:t>只能有一个有效报价</w:t>
            </w:r>
            <w:r>
              <w:rPr>
                <w:rFonts w:hint="default" w:ascii="Times New Roman" w:hAnsi="Times New Roman" w:cs="Times New Roman"/>
                <w:sz w:val="18"/>
                <w:szCs w:val="18"/>
                <w:highlight w:val="none"/>
                <w:lang w:eastAsia="zh-CN"/>
              </w:rPr>
              <w:t>。</w:t>
            </w:r>
          </w:p>
        </w:tc>
      </w:tr>
      <w:tr w14:paraId="2E4D9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exact"/>
        </w:trPr>
        <w:tc>
          <w:tcPr>
            <w:tcW w:w="345" w:type="pct"/>
            <w:noWrap w:val="0"/>
            <w:vAlign w:val="center"/>
          </w:tcPr>
          <w:p w14:paraId="75EFBE13">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2.1.2</w:t>
            </w:r>
          </w:p>
        </w:tc>
        <w:tc>
          <w:tcPr>
            <w:tcW w:w="589" w:type="pct"/>
            <w:noWrap w:val="0"/>
            <w:vAlign w:val="center"/>
          </w:tcPr>
          <w:p w14:paraId="03DDAD7C">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资格</w:t>
            </w:r>
          </w:p>
          <w:p w14:paraId="0186BDC7">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评审标准</w:t>
            </w:r>
          </w:p>
        </w:tc>
        <w:tc>
          <w:tcPr>
            <w:tcW w:w="859" w:type="pct"/>
            <w:noWrap w:val="0"/>
            <w:vAlign w:val="center"/>
          </w:tcPr>
          <w:p w14:paraId="0EBB03E1">
            <w:pPr>
              <w:pStyle w:val="6"/>
              <w:keepNext w:val="0"/>
              <w:keepLines w:val="0"/>
              <w:pageBreakBefore w:val="0"/>
              <w:widowControl w:val="0"/>
              <w:kinsoku/>
              <w:wordWrap/>
              <w:overflowPunct/>
              <w:topLinePunct w:val="0"/>
              <w:bidi w:val="0"/>
              <w:snapToGrid/>
              <w:spacing w:line="240" w:lineRule="auto"/>
              <w:ind w:right="180" w:hanging="6"/>
              <w:jc w:val="center"/>
              <w:rPr>
                <w:rFonts w:hint="default" w:ascii="Times New Roman" w:hAnsi="Times New Roman" w:cs="Times New Roman"/>
                <w:sz w:val="18"/>
                <w:szCs w:val="18"/>
                <w:highlight w:val="none"/>
                <w:lang w:eastAsia="zh-CN"/>
              </w:rPr>
            </w:pPr>
            <w:r>
              <w:rPr>
                <w:rFonts w:hint="default" w:ascii="Times New Roman" w:hAnsi="Times New Roman" w:cs="Times New Roman"/>
                <w:spacing w:val="-2"/>
                <w:sz w:val="18"/>
                <w:szCs w:val="18"/>
                <w:highlight w:val="none"/>
                <w:lang w:eastAsia="zh-CN"/>
              </w:rPr>
              <w:t>响应人资格要求</w:t>
            </w:r>
          </w:p>
        </w:tc>
        <w:tc>
          <w:tcPr>
            <w:tcW w:w="3206" w:type="pct"/>
            <w:gridSpan w:val="3"/>
            <w:noWrap w:val="0"/>
            <w:vAlign w:val="center"/>
          </w:tcPr>
          <w:p w14:paraId="2F71D2D4">
            <w:pPr>
              <w:pStyle w:val="6"/>
              <w:keepNext w:val="0"/>
              <w:keepLines w:val="0"/>
              <w:pageBreakBefore w:val="0"/>
              <w:widowControl w:val="0"/>
              <w:kinsoku/>
              <w:wordWrap/>
              <w:overflowPunct/>
              <w:topLinePunct w:val="0"/>
              <w:bidi w:val="0"/>
              <w:snapToGrid/>
              <w:spacing w:line="240" w:lineRule="auto"/>
              <w:ind w:left="2" w:right="99"/>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eastAsia="zh-CN"/>
              </w:rPr>
              <w:t>符合</w:t>
            </w:r>
            <w:r>
              <w:rPr>
                <w:rFonts w:hint="eastAsia" w:cs="Times New Roman"/>
                <w:sz w:val="18"/>
                <w:szCs w:val="18"/>
                <w:highlight w:val="none"/>
                <w:lang w:val="en-US" w:eastAsia="zh-CN"/>
              </w:rPr>
              <w:t>本公告二“</w:t>
            </w:r>
            <w:r>
              <w:rPr>
                <w:rFonts w:hint="default" w:ascii="Times New Roman" w:hAnsi="Times New Roman" w:cs="Times New Roman"/>
                <w:sz w:val="18"/>
                <w:szCs w:val="18"/>
                <w:highlight w:val="none"/>
                <w:lang w:val="en-US" w:eastAsia="zh-CN"/>
              </w:rPr>
              <w:t>响应人资格要求</w:t>
            </w:r>
            <w:r>
              <w:rPr>
                <w:rFonts w:hint="eastAsia" w:cs="Times New Roman"/>
                <w:sz w:val="18"/>
                <w:szCs w:val="18"/>
                <w:highlight w:val="none"/>
                <w:lang w:val="en-US" w:eastAsia="zh-CN"/>
              </w:rPr>
              <w:t>”</w:t>
            </w:r>
            <w:r>
              <w:rPr>
                <w:rFonts w:hint="default" w:ascii="Times New Roman" w:hAnsi="Times New Roman" w:cs="Times New Roman"/>
                <w:sz w:val="18"/>
                <w:szCs w:val="18"/>
                <w:highlight w:val="none"/>
                <w:lang w:val="en-US" w:eastAsia="zh-CN"/>
              </w:rPr>
              <w:t>。</w:t>
            </w:r>
          </w:p>
        </w:tc>
      </w:tr>
      <w:tr w14:paraId="0364A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exact"/>
        </w:trPr>
        <w:tc>
          <w:tcPr>
            <w:tcW w:w="934" w:type="pct"/>
            <w:gridSpan w:val="2"/>
            <w:noWrap w:val="0"/>
            <w:vAlign w:val="center"/>
          </w:tcPr>
          <w:p w14:paraId="08E63D9D">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条款号</w:t>
            </w:r>
          </w:p>
        </w:tc>
        <w:tc>
          <w:tcPr>
            <w:tcW w:w="859" w:type="pct"/>
            <w:noWrap w:val="0"/>
            <w:vAlign w:val="center"/>
          </w:tcPr>
          <w:p w14:paraId="1C28F229">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条款内容</w:t>
            </w:r>
          </w:p>
        </w:tc>
        <w:tc>
          <w:tcPr>
            <w:tcW w:w="3206" w:type="pct"/>
            <w:gridSpan w:val="3"/>
            <w:noWrap w:val="0"/>
            <w:vAlign w:val="center"/>
          </w:tcPr>
          <w:p w14:paraId="6698BA14">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b/>
                <w:bCs/>
                <w:sz w:val="18"/>
                <w:szCs w:val="18"/>
                <w:highlight w:val="none"/>
              </w:rPr>
            </w:pPr>
            <w:r>
              <w:rPr>
                <w:rFonts w:hint="default" w:ascii="Times New Roman" w:hAnsi="Times New Roman" w:cs="Times New Roman"/>
                <w:b/>
                <w:bCs/>
                <w:sz w:val="18"/>
                <w:szCs w:val="18"/>
                <w:highlight w:val="none"/>
              </w:rPr>
              <w:t>编列内容</w:t>
            </w:r>
          </w:p>
        </w:tc>
      </w:tr>
      <w:tr w14:paraId="516D2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exac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14:paraId="2D86C61A">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2.2.1</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52EF1896">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分值构成</w:t>
            </w:r>
          </w:p>
          <w:p w14:paraId="4C752C4A">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（总分100分）</w:t>
            </w:r>
          </w:p>
        </w:tc>
        <w:tc>
          <w:tcPr>
            <w:tcW w:w="3206" w:type="pct"/>
            <w:gridSpan w:val="3"/>
            <w:tcBorders>
              <w:top w:val="single" w:color="000000" w:sz="4" w:space="0"/>
              <w:left w:val="single" w:color="000000" w:sz="4" w:space="0"/>
              <w:bottom w:val="single" w:color="000000" w:sz="4" w:space="0"/>
              <w:right w:val="single" w:color="000000" w:sz="4" w:space="0"/>
            </w:tcBorders>
            <w:noWrap w:val="0"/>
            <w:vAlign w:val="center"/>
          </w:tcPr>
          <w:p w14:paraId="1D6465EE">
            <w:pPr>
              <w:keepNext w:val="0"/>
              <w:keepLines w:val="0"/>
              <w:pageBreakBefore w:val="0"/>
              <w:widowControl w:val="0"/>
              <w:kinsoku/>
              <w:wordWrap/>
              <w:overflowPunct/>
              <w:topLinePunct w:val="0"/>
              <w:bidi w:val="0"/>
              <w:snapToGrid/>
              <w:spacing w:line="240" w:lineRule="auto"/>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商务部分A：</w:t>
            </w:r>
            <w:r>
              <w:rPr>
                <w:rFonts w:hint="default" w:ascii="Times New Roman" w:hAnsi="Times New Roman" w:cs="Times New Roman"/>
                <w:sz w:val="18"/>
                <w:szCs w:val="18"/>
                <w:highlight w:val="none"/>
                <w:lang w:val="en-US" w:eastAsia="zh-CN"/>
              </w:rPr>
              <w:t>5</w:t>
            </w:r>
            <w:r>
              <w:rPr>
                <w:rFonts w:hint="default" w:ascii="Times New Roman" w:hAnsi="Times New Roman" w:cs="Times New Roman"/>
                <w:sz w:val="18"/>
                <w:szCs w:val="18"/>
                <w:highlight w:val="none"/>
                <w:lang w:eastAsia="zh-CN"/>
              </w:rPr>
              <w:t>分；</w:t>
            </w:r>
          </w:p>
          <w:p w14:paraId="37DFE98E">
            <w:pPr>
              <w:keepNext w:val="0"/>
              <w:keepLines w:val="0"/>
              <w:pageBreakBefore w:val="0"/>
              <w:widowControl w:val="0"/>
              <w:kinsoku/>
              <w:wordWrap/>
              <w:overflowPunct/>
              <w:topLinePunct w:val="0"/>
              <w:bidi w:val="0"/>
              <w:snapToGrid/>
              <w:spacing w:line="240" w:lineRule="auto"/>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技术部分B：</w:t>
            </w:r>
            <w:r>
              <w:rPr>
                <w:rFonts w:hint="default" w:ascii="Times New Roman" w:hAnsi="Times New Roman" w:cs="Times New Roman"/>
                <w:sz w:val="18"/>
                <w:szCs w:val="18"/>
                <w:highlight w:val="none"/>
                <w:lang w:val="en-US" w:eastAsia="zh-CN"/>
              </w:rPr>
              <w:t>55</w:t>
            </w:r>
            <w:r>
              <w:rPr>
                <w:rFonts w:hint="default" w:ascii="Times New Roman" w:hAnsi="Times New Roman" w:cs="Times New Roman"/>
                <w:sz w:val="18"/>
                <w:szCs w:val="18"/>
                <w:highlight w:val="none"/>
                <w:lang w:eastAsia="zh-CN"/>
              </w:rPr>
              <w:t>分；</w:t>
            </w:r>
          </w:p>
          <w:p w14:paraId="2855449B">
            <w:pPr>
              <w:keepNext w:val="0"/>
              <w:keepLines w:val="0"/>
              <w:pageBreakBefore w:val="0"/>
              <w:widowControl w:val="0"/>
              <w:kinsoku/>
              <w:wordWrap/>
              <w:overflowPunct/>
              <w:topLinePunct w:val="0"/>
              <w:bidi w:val="0"/>
              <w:snapToGrid/>
              <w:spacing w:line="240" w:lineRule="auto"/>
              <w:rPr>
                <w:rFonts w:hint="default" w:ascii="Times New Roman" w:hAnsi="Times New Roman" w:eastAsia="宋体" w:cs="Times New Roman"/>
                <w:sz w:val="18"/>
                <w:szCs w:val="18"/>
                <w:highlight w:val="none"/>
                <w:lang w:eastAsia="zh-CN"/>
              </w:rPr>
            </w:pPr>
            <w:r>
              <w:rPr>
                <w:rFonts w:hint="default" w:ascii="Times New Roman" w:hAnsi="Times New Roman" w:cs="Times New Roman"/>
                <w:sz w:val="18"/>
                <w:szCs w:val="18"/>
                <w:highlight w:val="none"/>
                <w:lang w:eastAsia="zh-CN"/>
              </w:rPr>
              <w:t>询比申请报价</w:t>
            </w:r>
            <w:r>
              <w:rPr>
                <w:rFonts w:hint="default" w:ascii="Times New Roman" w:hAnsi="Times New Roman" w:cs="Times New Roman"/>
                <w:sz w:val="18"/>
                <w:szCs w:val="18"/>
                <w:highlight w:val="none"/>
              </w:rPr>
              <w:t>C：</w:t>
            </w:r>
            <w:r>
              <w:rPr>
                <w:rFonts w:hint="default" w:ascii="Times New Roman" w:hAnsi="Times New Roman" w:cs="Times New Roman"/>
                <w:sz w:val="18"/>
                <w:szCs w:val="18"/>
                <w:highlight w:val="none"/>
                <w:lang w:val="en-US" w:eastAsia="zh-CN"/>
              </w:rPr>
              <w:t>40</w:t>
            </w:r>
            <w:r>
              <w:rPr>
                <w:rFonts w:hint="default" w:ascii="Times New Roman" w:hAnsi="Times New Roman" w:cs="Times New Roman"/>
                <w:sz w:val="18"/>
                <w:szCs w:val="18"/>
                <w:highlight w:val="none"/>
              </w:rPr>
              <w:t>分</w:t>
            </w:r>
            <w:r>
              <w:rPr>
                <w:rFonts w:hint="default" w:ascii="Times New Roman" w:hAnsi="Times New Roman" w:cs="Times New Roman"/>
                <w:sz w:val="18"/>
                <w:szCs w:val="18"/>
                <w:highlight w:val="none"/>
                <w:lang w:eastAsia="zh-CN"/>
              </w:rPr>
              <w:t>。</w:t>
            </w:r>
          </w:p>
        </w:tc>
      </w:tr>
      <w:tr w14:paraId="484F7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exac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14:paraId="7439C242">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2.2.2</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6691C63C">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rPr>
              <w:t>评审基准价</w:t>
            </w:r>
          </w:p>
          <w:p w14:paraId="360E894B">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计算方法</w:t>
            </w:r>
          </w:p>
        </w:tc>
        <w:tc>
          <w:tcPr>
            <w:tcW w:w="3206" w:type="pct"/>
            <w:gridSpan w:val="3"/>
            <w:tcBorders>
              <w:top w:val="single" w:color="000000" w:sz="4" w:space="0"/>
              <w:left w:val="single" w:color="000000" w:sz="4" w:space="0"/>
              <w:bottom w:val="single" w:color="000000" w:sz="4" w:space="0"/>
              <w:right w:val="single" w:color="000000" w:sz="4" w:space="0"/>
            </w:tcBorders>
            <w:noWrap w:val="0"/>
            <w:vAlign w:val="center"/>
          </w:tcPr>
          <w:p w14:paraId="73F0F53B">
            <w:pPr>
              <w:keepNext w:val="0"/>
              <w:keepLines w:val="0"/>
              <w:pageBreakBefore w:val="0"/>
              <w:widowControl w:val="0"/>
              <w:kinsoku/>
              <w:wordWrap/>
              <w:overflowPunct/>
              <w:topLinePunct w:val="0"/>
              <w:bidi w:val="0"/>
              <w:snapToGrid/>
              <w:spacing w:line="240" w:lineRule="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lang w:eastAsia="zh-CN"/>
              </w:rPr>
              <w:t>当有效响应人多于5家时（不含5家），评审基准价为各有效响应报价去掉一个最高和一个最低有效响应报价后的算术平均值；</w:t>
            </w:r>
          </w:p>
          <w:p w14:paraId="78F1EE2B">
            <w:pPr>
              <w:keepNext w:val="0"/>
              <w:keepLines w:val="0"/>
              <w:pageBreakBefore w:val="0"/>
              <w:widowControl w:val="0"/>
              <w:kinsoku/>
              <w:wordWrap/>
              <w:overflowPunct/>
              <w:topLinePunct w:val="0"/>
              <w:bidi w:val="0"/>
              <w:snapToGrid/>
              <w:spacing w:line="240" w:lineRule="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lang w:eastAsia="zh-CN"/>
              </w:rPr>
              <w:t>当有效响应人少于5家时（含5家），评审基准价为所有有效响应报价的算术平均值。</w:t>
            </w:r>
          </w:p>
          <w:p w14:paraId="299579D0">
            <w:pPr>
              <w:keepNext w:val="0"/>
              <w:keepLines w:val="0"/>
              <w:pageBreakBefore w:val="0"/>
              <w:widowControl w:val="0"/>
              <w:kinsoku/>
              <w:wordWrap/>
              <w:overflowPunct/>
              <w:topLinePunct w:val="0"/>
              <w:bidi w:val="0"/>
              <w:snapToGrid/>
              <w:spacing w:line="240" w:lineRule="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lang w:eastAsia="zh-CN"/>
              </w:rPr>
              <w:t>注：</w:t>
            </w:r>
            <w:r>
              <w:rPr>
                <w:rFonts w:hint="eastAsia" w:cs="Times New Roman"/>
                <w:sz w:val="18"/>
                <w:szCs w:val="18"/>
                <w:highlight w:val="none"/>
                <w:lang w:eastAsia="zh-CN"/>
              </w:rPr>
              <w:t>（</w:t>
            </w:r>
            <w:r>
              <w:rPr>
                <w:rFonts w:hint="eastAsia" w:cs="Times New Roman"/>
                <w:sz w:val="18"/>
                <w:szCs w:val="18"/>
                <w:highlight w:val="none"/>
                <w:lang w:val="en-US" w:eastAsia="zh-CN"/>
              </w:rPr>
              <w:t>1</w:t>
            </w:r>
            <w:r>
              <w:rPr>
                <w:rFonts w:hint="eastAsia" w:cs="Times New Roman"/>
                <w:sz w:val="18"/>
                <w:szCs w:val="18"/>
                <w:highlight w:val="none"/>
                <w:lang w:eastAsia="zh-CN"/>
              </w:rPr>
              <w:t>）本项目评审时按照不含税的响应报价参与评分。</w:t>
            </w:r>
          </w:p>
          <w:p w14:paraId="4CC1D625">
            <w:pPr>
              <w:keepNext w:val="0"/>
              <w:keepLines w:val="0"/>
              <w:pageBreakBefore w:val="0"/>
              <w:widowControl w:val="0"/>
              <w:kinsoku/>
              <w:wordWrap/>
              <w:overflowPunct/>
              <w:topLinePunct w:val="0"/>
              <w:bidi w:val="0"/>
              <w:snapToGrid/>
              <w:spacing w:line="240" w:lineRule="auto"/>
              <w:rPr>
                <w:rFonts w:hint="default" w:ascii="Times New Roman" w:hAnsi="Times New Roman" w:cs="Times New Roman"/>
                <w:sz w:val="18"/>
                <w:szCs w:val="18"/>
                <w:highlight w:val="none"/>
                <w:lang w:eastAsia="zh-CN"/>
              </w:rPr>
            </w:pPr>
            <w:r>
              <w:rPr>
                <w:rFonts w:hint="eastAsia" w:cs="Times New Roman"/>
                <w:sz w:val="18"/>
                <w:szCs w:val="18"/>
                <w:highlight w:val="none"/>
                <w:lang w:eastAsia="zh-CN"/>
              </w:rPr>
              <w:t>（</w:t>
            </w:r>
            <w:r>
              <w:rPr>
                <w:rFonts w:hint="eastAsia" w:cs="Times New Roman"/>
                <w:sz w:val="18"/>
                <w:szCs w:val="18"/>
                <w:highlight w:val="none"/>
                <w:lang w:val="en-US" w:eastAsia="zh-CN"/>
              </w:rPr>
              <w:t>2</w:t>
            </w:r>
            <w:r>
              <w:rPr>
                <w:rFonts w:hint="eastAsia" w:cs="Times New Roman"/>
                <w:sz w:val="18"/>
                <w:szCs w:val="18"/>
                <w:highlight w:val="none"/>
                <w:lang w:eastAsia="zh-CN"/>
              </w:rPr>
              <w:t>）</w:t>
            </w:r>
            <w:r>
              <w:rPr>
                <w:rFonts w:hint="default" w:ascii="Times New Roman" w:hAnsi="Times New Roman" w:eastAsia="宋体" w:cs="Times New Roman"/>
                <w:sz w:val="18"/>
                <w:szCs w:val="18"/>
                <w:highlight w:val="none"/>
                <w:lang w:eastAsia="zh-CN"/>
              </w:rPr>
              <w:t>参与</w:t>
            </w:r>
            <w:r>
              <w:rPr>
                <w:rFonts w:hint="default" w:ascii="Times New Roman" w:hAnsi="Times New Roman" w:eastAsia="宋体" w:cs="Times New Roman"/>
                <w:sz w:val="18"/>
                <w:szCs w:val="18"/>
                <w:highlight w:val="none"/>
                <w:lang w:val="en-US" w:eastAsia="zh-CN"/>
              </w:rPr>
              <w:t>评审</w:t>
            </w:r>
            <w:r>
              <w:rPr>
                <w:rFonts w:hint="default" w:ascii="Times New Roman" w:hAnsi="Times New Roman" w:eastAsia="宋体" w:cs="Times New Roman"/>
                <w:sz w:val="18"/>
                <w:szCs w:val="18"/>
                <w:highlight w:val="none"/>
                <w:lang w:eastAsia="zh-CN"/>
              </w:rPr>
              <w:t>基准价计算的</w:t>
            </w:r>
            <w:r>
              <w:rPr>
                <w:rFonts w:hint="default" w:ascii="Times New Roman" w:hAnsi="Times New Roman" w:eastAsia="宋体" w:cs="Times New Roman"/>
                <w:sz w:val="18"/>
                <w:szCs w:val="18"/>
                <w:highlight w:val="none"/>
                <w:lang w:val="en-US" w:eastAsia="zh-CN"/>
              </w:rPr>
              <w:t>有效响应</w:t>
            </w:r>
            <w:r>
              <w:rPr>
                <w:rFonts w:hint="default" w:ascii="Times New Roman" w:hAnsi="Times New Roman" w:eastAsia="宋体" w:cs="Times New Roman"/>
                <w:sz w:val="18"/>
                <w:szCs w:val="18"/>
                <w:highlight w:val="none"/>
                <w:lang w:eastAsia="zh-CN"/>
              </w:rPr>
              <w:t>报价为</w:t>
            </w:r>
            <w:r>
              <w:rPr>
                <w:rFonts w:hint="eastAsia" w:cs="Times New Roman"/>
                <w:sz w:val="18"/>
                <w:szCs w:val="18"/>
                <w:highlight w:val="none"/>
                <w:lang w:val="en-US" w:eastAsia="zh-CN"/>
              </w:rPr>
              <w:t>报价单内的“</w:t>
            </w:r>
            <w:r>
              <w:rPr>
                <w:rFonts w:hint="default" w:ascii="Times New Roman" w:hAnsi="Times New Roman" w:eastAsia="宋体" w:cs="Times New Roman"/>
                <w:sz w:val="18"/>
                <w:szCs w:val="18"/>
                <w:highlight w:val="none"/>
                <w:lang w:eastAsia="zh-CN"/>
              </w:rPr>
              <w:t>总项总价（每项不含税单价相加之和）</w:t>
            </w:r>
            <w:r>
              <w:rPr>
                <w:rFonts w:hint="eastAsia" w:cs="Times New Roman"/>
                <w:sz w:val="18"/>
                <w:szCs w:val="18"/>
                <w:highlight w:val="none"/>
                <w:lang w:eastAsia="zh-CN"/>
              </w:rPr>
              <w:t>”</w:t>
            </w:r>
            <w:r>
              <w:rPr>
                <w:rFonts w:hint="default" w:ascii="Times New Roman" w:hAnsi="Times New Roman" w:eastAsia="宋体" w:cs="Times New Roman"/>
                <w:sz w:val="18"/>
                <w:szCs w:val="18"/>
                <w:highlight w:val="none"/>
                <w:lang w:eastAsia="zh-CN"/>
              </w:rPr>
              <w:t>。</w:t>
            </w:r>
          </w:p>
        </w:tc>
      </w:tr>
      <w:tr w14:paraId="5F18C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exac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14:paraId="21D2D7AF">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rPr>
                <w:rFonts w:hint="default" w:ascii="Times New Roman" w:hAnsi="Times New Roman" w:eastAsia="宋体" w:cs="Times New Roman"/>
                <w:sz w:val="21"/>
                <w:szCs w:val="21"/>
                <w:lang w:val="en-US" w:eastAsia="zh-CN" w:bidi="ar-SA"/>
              </w:rPr>
            </w:pPr>
            <w:r>
              <w:rPr>
                <w:rFonts w:hint="default" w:ascii="Times New Roman" w:hAnsi="Times New Roman" w:cs="Times New Roman"/>
                <w:sz w:val="21"/>
                <w:szCs w:val="21"/>
              </w:rPr>
              <w:t>2.2.3</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3DB6F3FF">
            <w:pPr>
              <w:keepNext w:val="0"/>
              <w:keepLines w:val="0"/>
              <w:pageBreakBefore w:val="0"/>
              <w:widowControl w:val="0"/>
              <w:kinsoku/>
              <w:wordWrap/>
              <w:overflowPunct/>
              <w:topLinePunct w:val="0"/>
              <w:bidi w:val="0"/>
              <w:snapToGrid/>
              <w:spacing w:line="240" w:lineRule="auto"/>
              <w:rPr>
                <w:rFonts w:hint="default" w:ascii="Times New Roman" w:hAnsi="Times New Roman" w:eastAsia="宋体" w:cs="Times New Roman"/>
                <w:sz w:val="18"/>
                <w:szCs w:val="18"/>
                <w:highlight w:val="none"/>
                <w:lang w:val="en-US" w:eastAsia="en-US" w:bidi="ar-SA"/>
              </w:rPr>
            </w:pPr>
            <w:r>
              <w:rPr>
                <w:rFonts w:hint="default" w:ascii="Times New Roman" w:hAnsi="Times New Roman" w:eastAsia="宋体" w:cs="Times New Roman"/>
                <w:sz w:val="18"/>
                <w:szCs w:val="18"/>
                <w:highlight w:val="none"/>
                <w:lang w:eastAsia="zh-CN"/>
              </w:rPr>
              <w:t>响应报价的偏差率δ计算公式</w:t>
            </w:r>
          </w:p>
        </w:tc>
        <w:tc>
          <w:tcPr>
            <w:tcW w:w="3206" w:type="pct"/>
            <w:gridSpan w:val="3"/>
            <w:tcBorders>
              <w:top w:val="single" w:color="000000" w:sz="4" w:space="0"/>
              <w:left w:val="single" w:color="000000" w:sz="4" w:space="0"/>
              <w:bottom w:val="single" w:color="000000" w:sz="4" w:space="0"/>
              <w:right w:val="single" w:color="000000" w:sz="4" w:space="0"/>
            </w:tcBorders>
            <w:noWrap w:val="0"/>
            <w:vAlign w:val="center"/>
          </w:tcPr>
          <w:p w14:paraId="69825968">
            <w:pPr>
              <w:keepNext w:val="0"/>
              <w:keepLines w:val="0"/>
              <w:pageBreakBefore w:val="0"/>
              <w:widowControl w:val="0"/>
              <w:kinsoku/>
              <w:wordWrap/>
              <w:overflowPunct/>
              <w:topLinePunct w:val="0"/>
              <w:bidi w:val="0"/>
              <w:snapToGrid/>
              <w:spacing w:line="240" w:lineRule="auto"/>
              <w:rPr>
                <w:rFonts w:hint="default" w:ascii="Times New Roman" w:hAnsi="Times New Roman" w:eastAsia="宋体" w:cs="Times New Roman"/>
                <w:sz w:val="18"/>
                <w:szCs w:val="18"/>
                <w:highlight w:val="none"/>
                <w:lang w:val="en-US" w:eastAsia="zh-CN" w:bidi="ar-SA"/>
              </w:rPr>
            </w:pPr>
            <w:r>
              <w:rPr>
                <w:rFonts w:hint="default" w:ascii="Times New Roman" w:hAnsi="Times New Roman" w:eastAsia="宋体" w:cs="Times New Roman"/>
                <w:sz w:val="18"/>
                <w:szCs w:val="18"/>
                <w:highlight w:val="none"/>
                <w:lang w:eastAsia="zh-CN"/>
              </w:rPr>
              <w:t>偏差率（δ）=100%×（有效响应报价-评审基准价）/评审基准价。</w:t>
            </w:r>
          </w:p>
        </w:tc>
      </w:tr>
      <w:tr w14:paraId="182C2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exac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14:paraId="20C84281">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20"/>
                <w:szCs w:val="20"/>
                <w:highlight w:val="none"/>
              </w:rPr>
            </w:pPr>
            <w:r>
              <w:rPr>
                <w:rFonts w:hint="default" w:ascii="Times New Roman" w:hAnsi="Times New Roman" w:cs="Times New Roman"/>
                <w:b/>
                <w:sz w:val="20"/>
                <w:szCs w:val="20"/>
                <w:highlight w:val="none"/>
              </w:rPr>
              <w:t>条款号</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51166FC6">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20"/>
                <w:szCs w:val="20"/>
                <w:highlight w:val="none"/>
                <w:lang w:eastAsia="zh-CN"/>
              </w:rPr>
            </w:pPr>
            <w:r>
              <w:rPr>
                <w:rFonts w:hint="default" w:ascii="Times New Roman" w:hAnsi="Times New Roman" w:cs="Times New Roman"/>
                <w:b/>
                <w:sz w:val="20"/>
                <w:szCs w:val="20"/>
                <w:highlight w:val="none"/>
              </w:rPr>
              <w:t>评分因素</w:t>
            </w:r>
          </w:p>
        </w:tc>
        <w:tc>
          <w:tcPr>
            <w:tcW w:w="420" w:type="pct"/>
            <w:tcBorders>
              <w:top w:val="single" w:color="000000" w:sz="4" w:space="0"/>
              <w:left w:val="single" w:color="000000" w:sz="4" w:space="0"/>
              <w:bottom w:val="single" w:color="000000" w:sz="4" w:space="0"/>
              <w:right w:val="single" w:color="auto" w:sz="4" w:space="0"/>
            </w:tcBorders>
            <w:noWrap w:val="0"/>
            <w:vAlign w:val="center"/>
          </w:tcPr>
          <w:p w14:paraId="332E3439">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b/>
                <w:sz w:val="20"/>
                <w:szCs w:val="20"/>
                <w:highlight w:val="none"/>
              </w:rPr>
            </w:pPr>
            <w:r>
              <w:rPr>
                <w:rFonts w:hint="default" w:ascii="Times New Roman" w:hAnsi="Times New Roman" w:cs="Times New Roman"/>
                <w:b/>
                <w:sz w:val="20"/>
                <w:szCs w:val="20"/>
                <w:highlight w:val="none"/>
              </w:rPr>
              <w:t>标准分</w:t>
            </w:r>
          </w:p>
        </w:tc>
        <w:tc>
          <w:tcPr>
            <w:tcW w:w="2785" w:type="pct"/>
            <w:gridSpan w:val="2"/>
            <w:tcBorders>
              <w:top w:val="single" w:color="000000" w:sz="4" w:space="0"/>
              <w:left w:val="single" w:color="auto" w:sz="4" w:space="0"/>
              <w:bottom w:val="single" w:color="000000" w:sz="4" w:space="0"/>
              <w:right w:val="single" w:color="000000" w:sz="4" w:space="0"/>
            </w:tcBorders>
            <w:noWrap w:val="0"/>
            <w:vAlign w:val="center"/>
          </w:tcPr>
          <w:p w14:paraId="7C9DBC0B">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b/>
                <w:sz w:val="20"/>
                <w:szCs w:val="20"/>
                <w:highlight w:val="none"/>
              </w:rPr>
            </w:pPr>
            <w:r>
              <w:rPr>
                <w:rFonts w:hint="default" w:ascii="Times New Roman" w:hAnsi="Times New Roman" w:cs="Times New Roman"/>
                <w:b/>
                <w:sz w:val="20"/>
                <w:szCs w:val="20"/>
                <w:highlight w:val="none"/>
              </w:rPr>
              <w:t>评分标准</w:t>
            </w:r>
            <w:r>
              <w:rPr>
                <w:rFonts w:hint="default" w:ascii="Times New Roman" w:hAnsi="Times New Roman" w:cs="Times New Roman"/>
                <w:b/>
                <w:sz w:val="20"/>
                <w:szCs w:val="20"/>
                <w:highlight w:val="none"/>
                <w:lang w:eastAsia="zh-CN"/>
              </w:rPr>
              <w:t>（得分m）</w:t>
            </w:r>
          </w:p>
        </w:tc>
      </w:tr>
      <w:tr w14:paraId="3511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45" w:type="pct"/>
            <w:noWrap w:val="0"/>
            <w:vAlign w:val="center"/>
          </w:tcPr>
          <w:p w14:paraId="7A077871">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2.2.</w:t>
            </w:r>
            <w:r>
              <w:rPr>
                <w:rFonts w:hint="default" w:ascii="Times New Roman" w:hAnsi="Times New Roman" w:cs="Times New Roman"/>
                <w:sz w:val="18"/>
                <w:szCs w:val="18"/>
                <w:highlight w:val="none"/>
                <w:lang w:eastAsia="zh-CN"/>
              </w:rPr>
              <w:t>4</w:t>
            </w:r>
            <w:r>
              <w:rPr>
                <w:rFonts w:hint="default" w:ascii="Times New Roman" w:hAnsi="Times New Roman" w:cs="Times New Roman"/>
                <w:sz w:val="18"/>
                <w:szCs w:val="18"/>
                <w:highlight w:val="none"/>
              </w:rPr>
              <w:t>（1）</w:t>
            </w:r>
          </w:p>
        </w:tc>
        <w:tc>
          <w:tcPr>
            <w:tcW w:w="589" w:type="pct"/>
            <w:noWrap w:val="0"/>
            <w:vAlign w:val="center"/>
          </w:tcPr>
          <w:p w14:paraId="1B2B96BD">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商务部分评分标准</w:t>
            </w:r>
          </w:p>
          <w:p w14:paraId="76B3C43D">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w:t>
            </w:r>
            <w:r>
              <w:rPr>
                <w:rFonts w:hint="default" w:ascii="Times New Roman" w:hAnsi="Times New Roman" w:cs="Times New Roman"/>
                <w:sz w:val="18"/>
                <w:szCs w:val="18"/>
                <w:highlight w:val="none"/>
                <w:lang w:val="en-US" w:eastAsia="zh-CN"/>
              </w:rPr>
              <w:t>5</w:t>
            </w:r>
            <w:r>
              <w:rPr>
                <w:rFonts w:hint="default" w:ascii="Times New Roman" w:hAnsi="Times New Roman" w:cs="Times New Roman"/>
                <w:sz w:val="18"/>
                <w:szCs w:val="18"/>
                <w:highlight w:val="none"/>
                <w:lang w:eastAsia="zh-CN"/>
              </w:rPr>
              <w:t>分）</w:t>
            </w:r>
          </w:p>
        </w:tc>
        <w:tc>
          <w:tcPr>
            <w:tcW w:w="859" w:type="pct"/>
            <w:noWrap w:val="0"/>
            <w:vAlign w:val="center"/>
          </w:tcPr>
          <w:p w14:paraId="70D13064">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类似项目业绩</w:t>
            </w:r>
          </w:p>
        </w:tc>
        <w:tc>
          <w:tcPr>
            <w:tcW w:w="420" w:type="pct"/>
            <w:noWrap w:val="0"/>
            <w:vAlign w:val="center"/>
          </w:tcPr>
          <w:p w14:paraId="0CB79ED9">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val="en-US" w:eastAsia="zh-CN"/>
              </w:rPr>
              <w:t>5</w:t>
            </w:r>
            <w:r>
              <w:rPr>
                <w:rFonts w:hint="default" w:ascii="Times New Roman" w:hAnsi="Times New Roman" w:cs="Times New Roman"/>
                <w:sz w:val="18"/>
                <w:szCs w:val="18"/>
                <w:highlight w:val="none"/>
                <w:lang w:eastAsia="zh-CN"/>
              </w:rPr>
              <w:t>分</w:t>
            </w:r>
          </w:p>
        </w:tc>
        <w:tc>
          <w:tcPr>
            <w:tcW w:w="2785" w:type="pct"/>
            <w:gridSpan w:val="2"/>
            <w:noWrap w:val="0"/>
            <w:vAlign w:val="center"/>
          </w:tcPr>
          <w:p w14:paraId="54E09382">
            <w:pPr>
              <w:keepNext w:val="0"/>
              <w:keepLines w:val="0"/>
              <w:pageBreakBefore w:val="0"/>
              <w:widowControl w:val="0"/>
              <w:kinsoku/>
              <w:wordWrap/>
              <w:overflowPunct/>
              <w:topLinePunct w:val="0"/>
              <w:bidi w:val="0"/>
              <w:snapToGrid/>
              <w:spacing w:line="240" w:lineRule="auto"/>
              <w:jc w:val="both"/>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响应人每</w:t>
            </w:r>
            <w:r>
              <w:rPr>
                <w:rFonts w:hint="eastAsia" w:cs="Times New Roman"/>
                <w:sz w:val="18"/>
                <w:szCs w:val="18"/>
                <w:highlight w:val="none"/>
                <w:lang w:val="en-US" w:eastAsia="zh-CN"/>
              </w:rPr>
              <w:t>有</w:t>
            </w:r>
            <w:r>
              <w:rPr>
                <w:rFonts w:hint="default" w:ascii="Times New Roman" w:hAnsi="Times New Roman" w:cs="Times New Roman"/>
                <w:sz w:val="18"/>
                <w:szCs w:val="18"/>
                <w:highlight w:val="none"/>
                <w:lang w:eastAsia="zh-CN"/>
              </w:rPr>
              <w:t>一项</w:t>
            </w:r>
            <w:r>
              <w:rPr>
                <w:rFonts w:hint="eastAsia" w:cs="Times New Roman"/>
                <w:sz w:val="18"/>
                <w:szCs w:val="18"/>
                <w:highlight w:val="none"/>
                <w:lang w:val="en-US" w:eastAsia="zh-CN"/>
              </w:rPr>
              <w:t>一下</w:t>
            </w:r>
            <w:r>
              <w:rPr>
                <w:rFonts w:hint="default" w:ascii="Times New Roman" w:hAnsi="Times New Roman" w:cs="Times New Roman"/>
                <w:sz w:val="18"/>
                <w:szCs w:val="18"/>
                <w:highlight w:val="none"/>
                <w:lang w:eastAsia="zh-CN"/>
              </w:rPr>
              <w:t>类似项目业绩得</w:t>
            </w:r>
            <w:r>
              <w:rPr>
                <w:rFonts w:hint="eastAsia" w:cs="Times New Roman"/>
                <w:sz w:val="18"/>
                <w:szCs w:val="18"/>
                <w:highlight w:val="none"/>
                <w:lang w:val="en-US" w:eastAsia="zh-CN"/>
              </w:rPr>
              <w:t>2.5</w:t>
            </w:r>
            <w:r>
              <w:rPr>
                <w:rFonts w:hint="default" w:ascii="Times New Roman" w:hAnsi="Times New Roman" w:cs="Times New Roman"/>
                <w:sz w:val="18"/>
                <w:szCs w:val="18"/>
                <w:highlight w:val="none"/>
                <w:lang w:eastAsia="zh-CN"/>
              </w:rPr>
              <w:t>分，最高得</w:t>
            </w:r>
            <w:r>
              <w:rPr>
                <w:rFonts w:hint="default" w:ascii="Times New Roman" w:hAnsi="Times New Roman" w:cs="Times New Roman"/>
                <w:sz w:val="18"/>
                <w:szCs w:val="18"/>
                <w:highlight w:val="none"/>
                <w:lang w:val="en-US" w:eastAsia="zh-CN"/>
              </w:rPr>
              <w:t>5</w:t>
            </w:r>
            <w:r>
              <w:rPr>
                <w:rFonts w:hint="default" w:ascii="Times New Roman" w:hAnsi="Times New Roman" w:cs="Times New Roman"/>
                <w:sz w:val="18"/>
                <w:szCs w:val="18"/>
                <w:highlight w:val="none"/>
                <w:lang w:eastAsia="zh-CN"/>
              </w:rPr>
              <w:t>分。</w:t>
            </w:r>
          </w:p>
          <w:p w14:paraId="376239DA">
            <w:pPr>
              <w:pStyle w:val="2"/>
              <w:spacing w:line="240" w:lineRule="auto"/>
              <w:rPr>
                <w:rFonts w:hint="eastAsia" w:ascii="Times New Roman" w:hAnsi="Times New Roman" w:eastAsia="宋体" w:cs="Times New Roman"/>
                <w:b w:val="0"/>
                <w:bCs w:val="0"/>
                <w:sz w:val="18"/>
                <w:szCs w:val="18"/>
                <w:highlight w:val="none"/>
                <w:lang w:val="en-US" w:eastAsia="zh-CN" w:bidi="ar-SA"/>
              </w:rPr>
            </w:pPr>
            <w:r>
              <w:rPr>
                <w:rFonts w:hint="eastAsia" w:ascii="Times New Roman" w:hAnsi="Times New Roman" w:eastAsia="宋体" w:cs="Times New Roman"/>
                <w:b w:val="0"/>
                <w:bCs w:val="0"/>
                <w:sz w:val="18"/>
                <w:szCs w:val="18"/>
                <w:highlight w:val="none"/>
                <w:lang w:val="en-US" w:eastAsia="zh-CN" w:bidi="ar-SA"/>
              </w:rPr>
              <w:t>注：（1）类似项目业绩指</w:t>
            </w:r>
            <w:r>
              <w:rPr>
                <w:rFonts w:hint="eastAsia" w:ascii="Times New Roman" w:hAnsi="Times New Roman" w:cs="Times New Roman"/>
                <w:b w:val="0"/>
                <w:bCs w:val="0"/>
                <w:sz w:val="18"/>
                <w:szCs w:val="18"/>
                <w:highlight w:val="none"/>
                <w:lang w:val="en-US" w:eastAsia="zh-CN" w:bidi="ar-SA"/>
              </w:rPr>
              <w:t>：</w:t>
            </w:r>
            <w:r>
              <w:rPr>
                <w:rFonts w:hint="eastAsia" w:ascii="Times New Roman" w:hAnsi="Times New Roman" w:eastAsia="宋体" w:cs="Times New Roman"/>
                <w:b w:val="0"/>
                <w:bCs w:val="0"/>
                <w:sz w:val="18"/>
                <w:szCs w:val="18"/>
                <w:highlight w:val="none"/>
                <w:lang w:val="en-US" w:eastAsia="zh-CN" w:bidi="ar-SA"/>
              </w:rPr>
              <w:t>响应人在近三年内（合同签订日期需在2021年</w:t>
            </w:r>
            <w:r>
              <w:rPr>
                <w:rFonts w:hint="eastAsia" w:ascii="Times New Roman" w:hAnsi="Times New Roman" w:cs="Times New Roman"/>
                <w:b w:val="0"/>
                <w:bCs w:val="0"/>
                <w:sz w:val="18"/>
                <w:szCs w:val="18"/>
                <w:highlight w:val="none"/>
                <w:lang w:val="en-US" w:eastAsia="zh-CN" w:bidi="ar-SA"/>
              </w:rPr>
              <w:t>9</w:t>
            </w:r>
            <w:r>
              <w:rPr>
                <w:rFonts w:hint="eastAsia" w:ascii="Times New Roman" w:hAnsi="Times New Roman" w:eastAsia="宋体" w:cs="Times New Roman"/>
                <w:b w:val="0"/>
                <w:bCs w:val="0"/>
                <w:sz w:val="18"/>
                <w:szCs w:val="18"/>
                <w:highlight w:val="none"/>
                <w:lang w:val="en-US" w:eastAsia="zh-CN" w:bidi="ar-SA"/>
              </w:rPr>
              <w:t>月1日至询比申请截止时间之间）组织实施的市级及以上大型活动或营销活动类项目业绩（含单位介绍、经典案例等）。</w:t>
            </w:r>
          </w:p>
          <w:p w14:paraId="2DC55F4B">
            <w:pPr>
              <w:pStyle w:val="2"/>
              <w:spacing w:line="240" w:lineRule="auto"/>
              <w:rPr>
                <w:rFonts w:hint="default"/>
                <w:lang w:val="en-US" w:eastAsia="zh-CN"/>
              </w:rPr>
            </w:pPr>
            <w:r>
              <w:rPr>
                <w:rFonts w:hint="eastAsia" w:ascii="Times New Roman" w:hAnsi="Times New Roman" w:eastAsia="宋体" w:cs="Times New Roman"/>
                <w:b w:val="0"/>
                <w:bCs w:val="0"/>
                <w:sz w:val="18"/>
                <w:szCs w:val="18"/>
                <w:highlight w:val="none"/>
                <w:lang w:val="en-US" w:eastAsia="zh-CN" w:bidi="ar-SA"/>
              </w:rPr>
              <w:t>（2）业绩证明材料：需提供合同协议书（应体现项目工作内容、合同签订时间，否则须提供加盖业主公章的证明材料扫描件）</w:t>
            </w:r>
            <w:r>
              <w:rPr>
                <w:rFonts w:hint="eastAsia" w:ascii="Times New Roman" w:hAnsi="Times New Roman" w:cs="Times New Roman"/>
                <w:b w:val="0"/>
                <w:bCs w:val="0"/>
                <w:sz w:val="18"/>
                <w:szCs w:val="18"/>
                <w:highlight w:val="none"/>
                <w:lang w:val="en-US" w:eastAsia="zh-CN" w:bidi="ar-SA"/>
              </w:rPr>
              <w:t>，</w:t>
            </w:r>
            <w:r>
              <w:rPr>
                <w:rFonts w:hint="eastAsia" w:ascii="Times New Roman" w:hAnsi="Times New Roman" w:eastAsia="宋体" w:cs="Times New Roman"/>
                <w:b w:val="0"/>
                <w:bCs w:val="0"/>
                <w:sz w:val="18"/>
                <w:szCs w:val="18"/>
                <w:highlight w:val="none"/>
                <w:lang w:val="en-US" w:eastAsia="zh-CN" w:bidi="ar-SA"/>
              </w:rPr>
              <w:t>否则视为无效业绩。</w:t>
            </w:r>
          </w:p>
        </w:tc>
      </w:tr>
      <w:tr w14:paraId="796C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345" w:type="pct"/>
            <w:vMerge w:val="restart"/>
            <w:noWrap w:val="0"/>
            <w:vAlign w:val="center"/>
          </w:tcPr>
          <w:p w14:paraId="4DAD594A">
            <w:pPr>
              <w:keepNext w:val="0"/>
              <w:keepLines w:val="0"/>
              <w:pageBreakBefore w:val="0"/>
              <w:widowControl w:val="0"/>
              <w:kinsoku/>
              <w:wordWrap/>
              <w:overflowPunct/>
              <w:topLinePunct w:val="0"/>
              <w:bidi w:val="0"/>
              <w:adjustRightInd w:val="0"/>
              <w:snapToGrid/>
              <w:spacing w:before="156" w:after="156" w:line="240" w:lineRule="auto"/>
              <w:jc w:val="center"/>
              <w:textAlignment w:val="baseline"/>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2.2.</w:t>
            </w:r>
            <w:r>
              <w:rPr>
                <w:rFonts w:hint="default" w:ascii="Times New Roman" w:hAnsi="Times New Roman" w:cs="Times New Roman"/>
                <w:sz w:val="18"/>
                <w:szCs w:val="18"/>
                <w:highlight w:val="none"/>
                <w:lang w:eastAsia="zh-CN"/>
              </w:rPr>
              <w:t>4</w:t>
            </w:r>
            <w:r>
              <w:rPr>
                <w:rFonts w:hint="default" w:ascii="Times New Roman" w:hAnsi="Times New Roman" w:cs="Times New Roman"/>
                <w:sz w:val="18"/>
                <w:szCs w:val="18"/>
                <w:highlight w:val="none"/>
              </w:rPr>
              <w:t>（2）</w:t>
            </w:r>
          </w:p>
        </w:tc>
        <w:tc>
          <w:tcPr>
            <w:tcW w:w="589" w:type="pct"/>
            <w:vMerge w:val="restart"/>
            <w:noWrap w:val="0"/>
            <w:vAlign w:val="center"/>
          </w:tcPr>
          <w:p w14:paraId="1A230B53">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技术部分评分标准（</w:t>
            </w:r>
            <w:r>
              <w:rPr>
                <w:rFonts w:hint="eastAsia" w:cs="Times New Roman"/>
                <w:sz w:val="18"/>
                <w:szCs w:val="18"/>
                <w:highlight w:val="none"/>
                <w:lang w:val="en-US" w:eastAsia="zh-CN"/>
              </w:rPr>
              <w:t>5</w:t>
            </w:r>
            <w:r>
              <w:rPr>
                <w:rFonts w:hint="default" w:ascii="Times New Roman" w:hAnsi="Times New Roman" w:cs="Times New Roman"/>
                <w:sz w:val="18"/>
                <w:szCs w:val="18"/>
                <w:highlight w:val="none"/>
                <w:lang w:val="en-US" w:eastAsia="zh-CN"/>
              </w:rPr>
              <w:t>5</w:t>
            </w:r>
            <w:r>
              <w:rPr>
                <w:rFonts w:hint="default" w:ascii="Times New Roman" w:hAnsi="Times New Roman" w:cs="Times New Roman"/>
                <w:sz w:val="18"/>
                <w:szCs w:val="18"/>
                <w:highlight w:val="none"/>
                <w:lang w:eastAsia="zh-CN"/>
              </w:rPr>
              <w:t>分）</w:t>
            </w:r>
          </w:p>
        </w:tc>
        <w:tc>
          <w:tcPr>
            <w:tcW w:w="859" w:type="pct"/>
            <w:vMerge w:val="restart"/>
            <w:noWrap w:val="0"/>
            <w:vAlign w:val="center"/>
          </w:tcPr>
          <w:p w14:paraId="1AFF0D5B">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活动策划执行方案</w:t>
            </w:r>
          </w:p>
        </w:tc>
        <w:tc>
          <w:tcPr>
            <w:tcW w:w="420" w:type="pct"/>
            <w:vMerge w:val="restart"/>
            <w:noWrap w:val="0"/>
            <w:vAlign w:val="center"/>
          </w:tcPr>
          <w:p w14:paraId="1F7C99A0">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40</w:t>
            </w:r>
            <w:r>
              <w:rPr>
                <w:rFonts w:hint="default" w:ascii="Times New Roman" w:hAnsi="Times New Roman" w:cs="Times New Roman"/>
                <w:sz w:val="18"/>
                <w:szCs w:val="18"/>
                <w:highlight w:val="none"/>
              </w:rPr>
              <w:t>分</w:t>
            </w:r>
          </w:p>
        </w:tc>
        <w:tc>
          <w:tcPr>
            <w:tcW w:w="1947" w:type="pct"/>
            <w:vMerge w:val="restart"/>
            <w:noWrap w:val="0"/>
            <w:vAlign w:val="center"/>
          </w:tcPr>
          <w:p w14:paraId="2452487A">
            <w:pPr>
              <w:keepNext w:val="0"/>
              <w:keepLines w:val="0"/>
              <w:pageBreakBefore w:val="0"/>
              <w:widowControl w:val="0"/>
              <w:numPr>
                <w:ilvl w:val="0"/>
                <w:numId w:val="0"/>
              </w:numPr>
              <w:kinsoku/>
              <w:wordWrap/>
              <w:overflowPunct/>
              <w:topLinePunct w:val="0"/>
              <w:bidi w:val="0"/>
              <w:snapToGrid/>
              <w:spacing w:line="240" w:lineRule="auto"/>
              <w:jc w:val="left"/>
              <w:rPr>
                <w:rFonts w:hint="default" w:ascii="Times New Roman" w:hAnsi="Times New Roman" w:cs="Times New Roman"/>
                <w:sz w:val="18"/>
                <w:szCs w:val="18"/>
                <w:highlight w:val="none"/>
                <w:lang w:val="en-US" w:eastAsia="zh-CN" w:bidi="ar"/>
              </w:rPr>
            </w:pPr>
            <w:r>
              <w:rPr>
                <w:rFonts w:hint="eastAsia" w:cs="Times New Roman"/>
                <w:sz w:val="18"/>
                <w:szCs w:val="18"/>
                <w:highlight w:val="none"/>
                <w:lang w:val="en-US" w:eastAsia="zh-CN" w:bidi="ar"/>
              </w:rPr>
              <w:t>1.</w:t>
            </w:r>
            <w:r>
              <w:rPr>
                <w:rFonts w:hint="default" w:ascii="Times New Roman" w:hAnsi="Times New Roman" w:cs="Times New Roman"/>
                <w:sz w:val="18"/>
                <w:szCs w:val="18"/>
                <w:highlight w:val="none"/>
                <w:lang w:val="en-US" w:eastAsia="zh-CN" w:bidi="ar"/>
              </w:rPr>
              <w:t>方案应详细规划活动时间、主题、形式、现场执行分工、预算、</w:t>
            </w:r>
            <w:r>
              <w:rPr>
                <w:rFonts w:hint="eastAsia" w:cs="Times New Roman"/>
                <w:sz w:val="18"/>
                <w:szCs w:val="18"/>
                <w:highlight w:val="none"/>
                <w:lang w:val="en-US" w:eastAsia="zh-CN" w:bidi="ar"/>
              </w:rPr>
              <w:t>宣传推广、</w:t>
            </w:r>
            <w:r>
              <w:rPr>
                <w:rFonts w:hint="default" w:ascii="Times New Roman" w:hAnsi="Times New Roman" w:cs="Times New Roman"/>
                <w:sz w:val="18"/>
                <w:szCs w:val="18"/>
                <w:highlight w:val="none"/>
                <w:lang w:val="en-US" w:eastAsia="zh-CN" w:bidi="ar"/>
              </w:rPr>
              <w:t>预期效果以及图文展示等内容。</w:t>
            </w:r>
          </w:p>
          <w:p w14:paraId="069CB532">
            <w:pPr>
              <w:keepNext w:val="0"/>
              <w:keepLines w:val="0"/>
              <w:pageBreakBefore w:val="0"/>
              <w:widowControl w:val="0"/>
              <w:numPr>
                <w:ilvl w:val="0"/>
                <w:numId w:val="0"/>
              </w:numPr>
              <w:kinsoku/>
              <w:wordWrap/>
              <w:overflowPunct/>
              <w:topLinePunct w:val="0"/>
              <w:bidi w:val="0"/>
              <w:snapToGrid/>
              <w:spacing w:line="240" w:lineRule="auto"/>
              <w:jc w:val="left"/>
              <w:rPr>
                <w:rFonts w:hint="default" w:ascii="Times New Roman" w:hAnsi="Times New Roman" w:eastAsia="宋体" w:cs="Times New Roman"/>
                <w:sz w:val="18"/>
                <w:szCs w:val="18"/>
                <w:highlight w:val="none"/>
                <w:lang w:eastAsia="zh-CN" w:bidi="ar"/>
              </w:rPr>
            </w:pPr>
            <w:r>
              <w:rPr>
                <w:rFonts w:hint="eastAsia" w:cs="Times New Roman"/>
                <w:sz w:val="18"/>
                <w:szCs w:val="18"/>
                <w:highlight w:val="none"/>
                <w:lang w:val="en-US" w:eastAsia="zh-CN" w:bidi="ar"/>
              </w:rPr>
              <w:t>2.活动</w:t>
            </w:r>
            <w:r>
              <w:rPr>
                <w:rFonts w:hint="default" w:ascii="Times New Roman" w:hAnsi="Times New Roman" w:cs="Times New Roman"/>
                <w:sz w:val="18"/>
                <w:szCs w:val="18"/>
                <w:highlight w:val="none"/>
                <w:lang w:bidi="ar"/>
              </w:rPr>
              <w:t>创意独特，形式新颖，能深度结合地铁的特定节日档期（暑期、国庆、2号线周年庆、春节、牡丹文化节），有效传达企业文化理念、绿色出行及文旅融合等营销概念，形成鲜明的差异化优势。</w:t>
            </w:r>
          </w:p>
          <w:p w14:paraId="2A1A16B9">
            <w:pPr>
              <w:keepNext w:val="0"/>
              <w:keepLines w:val="0"/>
              <w:pageBreakBefore w:val="0"/>
              <w:widowControl w:val="0"/>
              <w:kinsoku/>
              <w:wordWrap/>
              <w:overflowPunct/>
              <w:topLinePunct w:val="0"/>
              <w:bidi w:val="0"/>
              <w:snapToGrid/>
              <w:spacing w:line="240" w:lineRule="auto"/>
              <w:jc w:val="left"/>
              <w:rPr>
                <w:rFonts w:hint="default" w:ascii="Times New Roman" w:hAnsi="Times New Roman" w:cs="Times New Roman"/>
                <w:sz w:val="18"/>
                <w:szCs w:val="18"/>
                <w:highlight w:val="none"/>
                <w:lang w:bidi="ar"/>
              </w:rPr>
            </w:pPr>
            <w:r>
              <w:rPr>
                <w:rFonts w:hint="eastAsia" w:cs="Times New Roman"/>
                <w:sz w:val="18"/>
                <w:szCs w:val="18"/>
                <w:highlight w:val="none"/>
                <w:lang w:val="en-US" w:eastAsia="zh-CN" w:bidi="ar"/>
              </w:rPr>
              <w:t>3.</w:t>
            </w:r>
            <w:r>
              <w:rPr>
                <w:rFonts w:hint="default" w:ascii="Times New Roman" w:hAnsi="Times New Roman" w:cs="Times New Roman"/>
                <w:sz w:val="18"/>
                <w:szCs w:val="18"/>
                <w:highlight w:val="none"/>
                <w:lang w:bidi="ar"/>
              </w:rPr>
              <w:t>舞美设计视觉冲击力强，与活动主题高度契合，文案创意独特，话题性强，能引发广泛讨论，形成强大的话题性传播效果。</w:t>
            </w:r>
          </w:p>
          <w:p w14:paraId="589AEAE6">
            <w:pPr>
              <w:keepNext w:val="0"/>
              <w:keepLines w:val="0"/>
              <w:pageBreakBefore w:val="0"/>
              <w:widowControl w:val="0"/>
              <w:kinsoku/>
              <w:wordWrap/>
              <w:overflowPunct/>
              <w:topLinePunct w:val="0"/>
              <w:bidi w:val="0"/>
              <w:snapToGrid/>
              <w:spacing w:line="240" w:lineRule="auto"/>
              <w:jc w:val="left"/>
              <w:rPr>
                <w:rFonts w:hint="default" w:ascii="Times New Roman" w:hAnsi="Times New Roman" w:cs="Times New Roman"/>
                <w:sz w:val="18"/>
                <w:szCs w:val="18"/>
                <w:highlight w:val="none"/>
                <w:lang w:bidi="ar"/>
              </w:rPr>
            </w:pPr>
            <w:r>
              <w:rPr>
                <w:rFonts w:hint="default" w:ascii="Times New Roman" w:hAnsi="Times New Roman" w:cs="Times New Roman"/>
                <w:sz w:val="18"/>
                <w:szCs w:val="18"/>
                <w:highlight w:val="none"/>
                <w:lang w:bidi="ar"/>
              </w:rPr>
              <w:t>3.</w:t>
            </w:r>
            <w:r>
              <w:rPr>
                <w:rFonts w:hint="eastAsia" w:cs="Times New Roman"/>
                <w:sz w:val="18"/>
                <w:szCs w:val="18"/>
                <w:highlight w:val="none"/>
                <w:lang w:val="en-US" w:eastAsia="zh-CN" w:bidi="ar"/>
              </w:rPr>
              <w:t>方案中宣传推广形式多样，</w:t>
            </w:r>
            <w:r>
              <w:rPr>
                <w:rFonts w:hint="default" w:ascii="Times New Roman" w:hAnsi="Times New Roman" w:cs="Times New Roman"/>
                <w:sz w:val="18"/>
                <w:szCs w:val="18"/>
                <w:highlight w:val="none"/>
                <w:lang w:val="en-US" w:eastAsia="zh-CN" w:bidi="ar"/>
              </w:rPr>
              <w:t>通过多元化宣传推广策略，确保活动信息能够精准触达目标受众，并实现广泛覆盖。</w:t>
            </w:r>
          </w:p>
          <w:p w14:paraId="74D7AE68">
            <w:pPr>
              <w:keepNext w:val="0"/>
              <w:keepLines w:val="0"/>
              <w:pageBreakBefore w:val="0"/>
              <w:widowControl w:val="0"/>
              <w:kinsoku/>
              <w:wordWrap/>
              <w:overflowPunct/>
              <w:topLinePunct w:val="0"/>
              <w:bidi w:val="0"/>
              <w:snapToGrid/>
              <w:spacing w:line="240" w:lineRule="auto"/>
              <w:jc w:val="left"/>
              <w:rPr>
                <w:rFonts w:hint="default" w:ascii="Times New Roman" w:hAnsi="Times New Roman" w:cs="Times New Roman"/>
                <w:sz w:val="18"/>
                <w:szCs w:val="18"/>
                <w:highlight w:val="none"/>
                <w:lang w:bidi="ar"/>
              </w:rPr>
            </w:pPr>
            <w:r>
              <w:rPr>
                <w:rFonts w:hint="eastAsia" w:cs="Times New Roman"/>
                <w:sz w:val="18"/>
                <w:szCs w:val="18"/>
                <w:highlight w:val="none"/>
                <w:lang w:val="en-US" w:eastAsia="zh-CN" w:bidi="ar"/>
              </w:rPr>
              <w:t>4</w:t>
            </w:r>
            <w:r>
              <w:rPr>
                <w:rFonts w:hint="default" w:ascii="Times New Roman" w:hAnsi="Times New Roman" w:cs="Times New Roman"/>
                <w:sz w:val="18"/>
                <w:szCs w:val="18"/>
                <w:highlight w:val="none"/>
                <w:lang w:bidi="ar"/>
              </w:rPr>
              <w:t>活动</w:t>
            </w:r>
            <w:r>
              <w:rPr>
                <w:rFonts w:hint="default" w:ascii="Times New Roman" w:hAnsi="Times New Roman" w:cs="Times New Roman"/>
                <w:sz w:val="18"/>
                <w:szCs w:val="18"/>
                <w:highlight w:val="none"/>
                <w:lang w:val="en-US" w:eastAsia="zh-CN" w:bidi="ar"/>
              </w:rPr>
              <w:t>执行</w:t>
            </w:r>
            <w:r>
              <w:rPr>
                <w:rFonts w:hint="default" w:ascii="Times New Roman" w:hAnsi="Times New Roman" w:cs="Times New Roman"/>
                <w:sz w:val="18"/>
                <w:szCs w:val="18"/>
                <w:highlight w:val="none"/>
                <w:lang w:bidi="ar"/>
              </w:rPr>
              <w:t>方案结构清晰，具有高度的可延展性，为后续活动提供了丰富的优化和再利用空间，展现出良好的长期规划能力。</w:t>
            </w:r>
          </w:p>
          <w:p w14:paraId="2D09F016">
            <w:pPr>
              <w:keepNext w:val="0"/>
              <w:keepLines w:val="0"/>
              <w:pageBreakBefore w:val="0"/>
              <w:widowControl w:val="0"/>
              <w:kinsoku/>
              <w:wordWrap/>
              <w:overflowPunct/>
              <w:topLinePunct w:val="0"/>
              <w:bidi w:val="0"/>
              <w:snapToGrid/>
              <w:spacing w:line="240" w:lineRule="auto"/>
              <w:jc w:val="left"/>
              <w:rPr>
                <w:rFonts w:hint="default" w:ascii="Times New Roman" w:hAnsi="Times New Roman" w:cs="Times New Roman"/>
                <w:sz w:val="18"/>
                <w:szCs w:val="18"/>
                <w:highlight w:val="none"/>
                <w:lang w:val="en-US" w:eastAsia="zh-CN" w:bidi="ar"/>
              </w:rPr>
            </w:pPr>
            <w:r>
              <w:rPr>
                <w:rFonts w:hint="eastAsia" w:cs="Times New Roman"/>
                <w:sz w:val="18"/>
                <w:szCs w:val="18"/>
                <w:highlight w:val="none"/>
                <w:lang w:val="en-US" w:eastAsia="zh-CN" w:bidi="ar"/>
              </w:rPr>
              <w:t>5</w:t>
            </w:r>
            <w:r>
              <w:rPr>
                <w:rFonts w:hint="default" w:ascii="Times New Roman" w:hAnsi="Times New Roman" w:cs="Times New Roman"/>
                <w:sz w:val="18"/>
                <w:szCs w:val="18"/>
                <w:highlight w:val="none"/>
                <w:lang w:val="en-US" w:eastAsia="zh-CN" w:bidi="ar"/>
              </w:rPr>
              <w:t>.内外部资源整合能力强，活动执行人员安排合理，物料准备充分且分配得当，能高效导入外部优势资源，确保活动顺利进行。</w:t>
            </w:r>
          </w:p>
          <w:p w14:paraId="74BCA8AA">
            <w:pPr>
              <w:keepNext w:val="0"/>
              <w:keepLines w:val="0"/>
              <w:pageBreakBefore w:val="0"/>
              <w:widowControl w:val="0"/>
              <w:kinsoku/>
              <w:wordWrap/>
              <w:overflowPunct/>
              <w:topLinePunct w:val="0"/>
              <w:bidi w:val="0"/>
              <w:snapToGrid/>
              <w:spacing w:line="240" w:lineRule="auto"/>
              <w:jc w:val="left"/>
              <w:rPr>
                <w:rFonts w:hint="default" w:ascii="Times New Roman" w:hAnsi="Times New Roman" w:cs="Times New Roman"/>
                <w:sz w:val="18"/>
                <w:szCs w:val="18"/>
                <w:highlight w:val="yellow"/>
                <w:lang w:val="en-US" w:eastAsia="zh-CN" w:bidi="ar"/>
              </w:rPr>
            </w:pPr>
            <w:r>
              <w:rPr>
                <w:rFonts w:hint="eastAsia" w:cs="Times New Roman"/>
                <w:sz w:val="18"/>
                <w:szCs w:val="18"/>
                <w:highlight w:val="none"/>
                <w:lang w:val="en-US" w:eastAsia="zh-CN" w:bidi="ar"/>
              </w:rPr>
              <w:t>注：至少</w:t>
            </w:r>
            <w:r>
              <w:rPr>
                <w:rFonts w:hint="default" w:ascii="Times New Roman" w:hAnsi="Times New Roman" w:cs="Times New Roman"/>
                <w:sz w:val="18"/>
                <w:szCs w:val="18"/>
                <w:highlight w:val="none"/>
                <w:lang w:bidi="ar"/>
              </w:rPr>
              <w:t>提供</w:t>
            </w:r>
            <w:r>
              <w:rPr>
                <w:rFonts w:hint="eastAsia" w:cs="Times New Roman"/>
                <w:sz w:val="18"/>
                <w:szCs w:val="18"/>
                <w:highlight w:val="none"/>
                <w:lang w:val="en-US" w:eastAsia="zh-CN" w:bidi="ar"/>
              </w:rPr>
              <w:t>1份</w:t>
            </w:r>
            <w:r>
              <w:rPr>
                <w:rFonts w:hint="default" w:ascii="Times New Roman" w:hAnsi="Times New Roman" w:cs="Times New Roman"/>
                <w:sz w:val="18"/>
                <w:szCs w:val="18"/>
                <w:highlight w:val="none"/>
                <w:lang w:bidi="ar"/>
              </w:rPr>
              <w:t>策划</w:t>
            </w:r>
            <w:r>
              <w:rPr>
                <w:rFonts w:hint="eastAsia" w:cs="Times New Roman"/>
                <w:sz w:val="18"/>
                <w:szCs w:val="18"/>
                <w:highlight w:val="none"/>
                <w:lang w:val="en-US" w:eastAsia="zh-CN" w:bidi="ar"/>
              </w:rPr>
              <w:t>执行</w:t>
            </w:r>
            <w:r>
              <w:rPr>
                <w:rFonts w:hint="default" w:ascii="Times New Roman" w:hAnsi="Times New Roman" w:cs="Times New Roman"/>
                <w:sz w:val="18"/>
                <w:szCs w:val="18"/>
                <w:highlight w:val="none"/>
                <w:lang w:bidi="ar"/>
              </w:rPr>
              <w:t>方案（PPT）</w:t>
            </w:r>
            <w:r>
              <w:rPr>
                <w:rFonts w:hint="default" w:ascii="Times New Roman" w:hAnsi="Times New Roman" w:cs="Times New Roman"/>
                <w:sz w:val="18"/>
                <w:szCs w:val="18"/>
                <w:highlight w:val="none"/>
                <w:lang w:eastAsia="zh-CN" w:bidi="ar"/>
              </w:rPr>
              <w:t>。</w:t>
            </w:r>
          </w:p>
        </w:tc>
        <w:tc>
          <w:tcPr>
            <w:tcW w:w="838" w:type="pct"/>
            <w:noWrap w:val="0"/>
            <w:vAlign w:val="center"/>
          </w:tcPr>
          <w:p w14:paraId="293A2A5E">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eastAsia="zh-CN"/>
              </w:rPr>
              <w:t>优</w:t>
            </w:r>
            <w:r>
              <w:rPr>
                <w:rFonts w:hint="default" w:ascii="Times New Roman" w:hAnsi="Times New Roman" w:cs="Times New Roman"/>
                <w:sz w:val="18"/>
                <w:szCs w:val="18"/>
                <w:highlight w:val="none"/>
                <w:lang w:val="en-US" w:eastAsia="zh-CN"/>
              </w:rPr>
              <w:t>30</w:t>
            </w:r>
            <w:r>
              <w:rPr>
                <w:rFonts w:hint="default" w:ascii="Times New Roman" w:hAnsi="Times New Roman" w:cs="Times New Roman"/>
                <w:sz w:val="18"/>
                <w:szCs w:val="18"/>
                <w:highlight w:val="none"/>
                <w:lang w:eastAsia="zh-CN"/>
              </w:rPr>
              <w:t>＜M≤</w:t>
            </w:r>
            <w:r>
              <w:rPr>
                <w:rFonts w:hint="default" w:ascii="Times New Roman" w:hAnsi="Times New Roman" w:cs="Times New Roman"/>
                <w:sz w:val="18"/>
                <w:szCs w:val="18"/>
                <w:highlight w:val="none"/>
                <w:lang w:val="en-US" w:eastAsia="zh-CN"/>
              </w:rPr>
              <w:t>40</w:t>
            </w:r>
          </w:p>
        </w:tc>
      </w:tr>
      <w:tr w14:paraId="1357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345" w:type="pct"/>
            <w:vMerge w:val="continue"/>
            <w:noWrap w:val="0"/>
            <w:vAlign w:val="center"/>
          </w:tcPr>
          <w:p w14:paraId="4BAC4E06">
            <w:pPr>
              <w:keepNext w:val="0"/>
              <w:keepLines w:val="0"/>
              <w:pageBreakBefore w:val="0"/>
              <w:widowControl w:val="0"/>
              <w:kinsoku/>
              <w:wordWrap/>
              <w:overflowPunct/>
              <w:topLinePunct w:val="0"/>
              <w:bidi w:val="0"/>
              <w:adjustRightInd w:val="0"/>
              <w:snapToGrid/>
              <w:spacing w:before="156" w:after="156" w:line="240" w:lineRule="auto"/>
              <w:jc w:val="center"/>
              <w:textAlignment w:val="baseline"/>
              <w:rPr>
                <w:rFonts w:hint="default" w:ascii="Times New Roman" w:hAnsi="Times New Roman" w:cs="Times New Roman"/>
                <w:sz w:val="18"/>
                <w:szCs w:val="18"/>
                <w:highlight w:val="none"/>
              </w:rPr>
            </w:pPr>
          </w:p>
        </w:tc>
        <w:tc>
          <w:tcPr>
            <w:tcW w:w="589" w:type="pct"/>
            <w:vMerge w:val="continue"/>
            <w:noWrap w:val="0"/>
            <w:vAlign w:val="center"/>
          </w:tcPr>
          <w:p w14:paraId="35420AA4">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p>
        </w:tc>
        <w:tc>
          <w:tcPr>
            <w:tcW w:w="859" w:type="pct"/>
            <w:vMerge w:val="continue"/>
            <w:noWrap w:val="0"/>
            <w:vAlign w:val="center"/>
          </w:tcPr>
          <w:p w14:paraId="25D61168">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p>
        </w:tc>
        <w:tc>
          <w:tcPr>
            <w:tcW w:w="420" w:type="pct"/>
            <w:vMerge w:val="continue"/>
            <w:noWrap w:val="0"/>
            <w:vAlign w:val="center"/>
          </w:tcPr>
          <w:p w14:paraId="24026ED8">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val="en-US" w:eastAsia="zh-CN"/>
              </w:rPr>
            </w:pPr>
          </w:p>
        </w:tc>
        <w:tc>
          <w:tcPr>
            <w:tcW w:w="1947" w:type="pct"/>
            <w:vMerge w:val="continue"/>
            <w:noWrap w:val="0"/>
            <w:vAlign w:val="center"/>
          </w:tcPr>
          <w:p w14:paraId="76FEC269">
            <w:pPr>
              <w:keepNext w:val="0"/>
              <w:keepLines w:val="0"/>
              <w:pageBreakBefore w:val="0"/>
              <w:widowControl w:val="0"/>
              <w:kinsoku/>
              <w:wordWrap/>
              <w:overflowPunct/>
              <w:topLinePunct w:val="0"/>
              <w:bidi w:val="0"/>
              <w:snapToGrid/>
              <w:spacing w:line="240" w:lineRule="auto"/>
              <w:jc w:val="left"/>
              <w:rPr>
                <w:rFonts w:hint="default" w:ascii="Times New Roman" w:hAnsi="Times New Roman" w:cs="Times New Roman"/>
                <w:sz w:val="18"/>
                <w:szCs w:val="18"/>
                <w:lang w:val="en-US" w:eastAsia="zh-CN" w:bidi="ar"/>
              </w:rPr>
            </w:pPr>
          </w:p>
        </w:tc>
        <w:tc>
          <w:tcPr>
            <w:tcW w:w="838" w:type="pct"/>
            <w:noWrap w:val="0"/>
            <w:vAlign w:val="center"/>
          </w:tcPr>
          <w:p w14:paraId="7E2A94ED">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eastAsia="zh-CN"/>
              </w:rPr>
              <w:t>良</w:t>
            </w:r>
            <w:r>
              <w:rPr>
                <w:rFonts w:hint="default" w:ascii="Times New Roman" w:hAnsi="Times New Roman" w:cs="Times New Roman"/>
                <w:sz w:val="18"/>
                <w:szCs w:val="18"/>
                <w:highlight w:val="none"/>
                <w:lang w:val="en-US" w:eastAsia="zh-CN"/>
              </w:rPr>
              <w:t>15</w:t>
            </w:r>
            <w:r>
              <w:rPr>
                <w:rFonts w:hint="default" w:ascii="Times New Roman" w:hAnsi="Times New Roman" w:cs="Times New Roman"/>
                <w:sz w:val="18"/>
                <w:szCs w:val="18"/>
                <w:highlight w:val="none"/>
                <w:lang w:eastAsia="zh-CN"/>
              </w:rPr>
              <w:t>＜M≤</w:t>
            </w:r>
            <w:r>
              <w:rPr>
                <w:rFonts w:hint="default" w:ascii="Times New Roman" w:hAnsi="Times New Roman" w:cs="Times New Roman"/>
                <w:sz w:val="18"/>
                <w:szCs w:val="18"/>
                <w:highlight w:val="none"/>
                <w:lang w:val="en-US" w:eastAsia="zh-CN"/>
              </w:rPr>
              <w:t>30</w:t>
            </w:r>
          </w:p>
        </w:tc>
      </w:tr>
      <w:tr w14:paraId="1C07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345" w:type="pct"/>
            <w:vMerge w:val="continue"/>
            <w:noWrap w:val="0"/>
            <w:vAlign w:val="center"/>
          </w:tcPr>
          <w:p w14:paraId="60A16ACE">
            <w:pPr>
              <w:keepNext w:val="0"/>
              <w:keepLines w:val="0"/>
              <w:pageBreakBefore w:val="0"/>
              <w:widowControl w:val="0"/>
              <w:kinsoku/>
              <w:wordWrap/>
              <w:overflowPunct/>
              <w:topLinePunct w:val="0"/>
              <w:bidi w:val="0"/>
              <w:adjustRightInd w:val="0"/>
              <w:snapToGrid/>
              <w:spacing w:before="156" w:after="156" w:line="240" w:lineRule="auto"/>
              <w:jc w:val="center"/>
              <w:textAlignment w:val="baseline"/>
              <w:rPr>
                <w:rFonts w:hint="default" w:ascii="Times New Roman" w:hAnsi="Times New Roman" w:cs="Times New Roman"/>
                <w:sz w:val="18"/>
                <w:szCs w:val="18"/>
                <w:highlight w:val="none"/>
              </w:rPr>
            </w:pPr>
          </w:p>
        </w:tc>
        <w:tc>
          <w:tcPr>
            <w:tcW w:w="589" w:type="pct"/>
            <w:vMerge w:val="continue"/>
            <w:noWrap w:val="0"/>
            <w:vAlign w:val="center"/>
          </w:tcPr>
          <w:p w14:paraId="7B48D8CF">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p>
        </w:tc>
        <w:tc>
          <w:tcPr>
            <w:tcW w:w="859" w:type="pct"/>
            <w:vMerge w:val="continue"/>
            <w:noWrap w:val="0"/>
            <w:vAlign w:val="center"/>
          </w:tcPr>
          <w:p w14:paraId="012A26D8">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p>
        </w:tc>
        <w:tc>
          <w:tcPr>
            <w:tcW w:w="420" w:type="pct"/>
            <w:vMerge w:val="continue"/>
            <w:noWrap w:val="0"/>
            <w:vAlign w:val="center"/>
          </w:tcPr>
          <w:p w14:paraId="41C8D3DA">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val="en-US" w:eastAsia="zh-CN"/>
              </w:rPr>
            </w:pPr>
          </w:p>
        </w:tc>
        <w:tc>
          <w:tcPr>
            <w:tcW w:w="1947" w:type="pct"/>
            <w:vMerge w:val="continue"/>
            <w:noWrap w:val="0"/>
            <w:vAlign w:val="center"/>
          </w:tcPr>
          <w:p w14:paraId="04387D21">
            <w:pPr>
              <w:keepNext w:val="0"/>
              <w:keepLines w:val="0"/>
              <w:pageBreakBefore w:val="0"/>
              <w:widowControl w:val="0"/>
              <w:kinsoku/>
              <w:wordWrap/>
              <w:overflowPunct/>
              <w:topLinePunct w:val="0"/>
              <w:bidi w:val="0"/>
              <w:snapToGrid/>
              <w:spacing w:line="240" w:lineRule="auto"/>
              <w:jc w:val="left"/>
              <w:rPr>
                <w:rFonts w:hint="default" w:ascii="Times New Roman" w:hAnsi="Times New Roman" w:cs="Times New Roman"/>
                <w:sz w:val="18"/>
                <w:szCs w:val="18"/>
                <w:lang w:val="en-US" w:eastAsia="zh-CN" w:bidi="ar"/>
              </w:rPr>
            </w:pPr>
          </w:p>
        </w:tc>
        <w:tc>
          <w:tcPr>
            <w:tcW w:w="838" w:type="pct"/>
            <w:noWrap w:val="0"/>
            <w:vAlign w:val="center"/>
          </w:tcPr>
          <w:p w14:paraId="641FFE66">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eastAsia="zh-CN"/>
              </w:rPr>
              <w:t>一般0≤M≤</w:t>
            </w:r>
            <w:r>
              <w:rPr>
                <w:rFonts w:hint="default" w:ascii="Times New Roman" w:hAnsi="Times New Roman" w:cs="Times New Roman"/>
                <w:sz w:val="18"/>
                <w:szCs w:val="18"/>
                <w:highlight w:val="none"/>
                <w:lang w:val="en-US" w:eastAsia="zh-CN"/>
              </w:rPr>
              <w:t>15</w:t>
            </w:r>
          </w:p>
        </w:tc>
      </w:tr>
      <w:tr w14:paraId="365D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45" w:type="pct"/>
            <w:vMerge w:val="continue"/>
            <w:noWrap w:val="0"/>
            <w:vAlign w:val="center"/>
          </w:tcPr>
          <w:p w14:paraId="7D30276B">
            <w:pPr>
              <w:keepNext w:val="0"/>
              <w:keepLines w:val="0"/>
              <w:pageBreakBefore w:val="0"/>
              <w:widowControl w:val="0"/>
              <w:kinsoku/>
              <w:wordWrap/>
              <w:overflowPunct/>
              <w:topLinePunct w:val="0"/>
              <w:bidi w:val="0"/>
              <w:adjustRightInd w:val="0"/>
              <w:snapToGrid/>
              <w:spacing w:before="156" w:after="156" w:line="240" w:lineRule="auto"/>
              <w:jc w:val="center"/>
              <w:textAlignment w:val="baseline"/>
              <w:rPr>
                <w:rFonts w:hint="default" w:ascii="Times New Roman" w:hAnsi="Times New Roman" w:cs="Times New Roman"/>
                <w:sz w:val="18"/>
                <w:szCs w:val="18"/>
                <w:highlight w:val="none"/>
              </w:rPr>
            </w:pPr>
          </w:p>
        </w:tc>
        <w:tc>
          <w:tcPr>
            <w:tcW w:w="589" w:type="pct"/>
            <w:vMerge w:val="continue"/>
            <w:noWrap w:val="0"/>
            <w:vAlign w:val="center"/>
          </w:tcPr>
          <w:p w14:paraId="154DA1EB">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p>
        </w:tc>
        <w:tc>
          <w:tcPr>
            <w:tcW w:w="859" w:type="pct"/>
            <w:vMerge w:val="restart"/>
            <w:noWrap w:val="0"/>
            <w:vAlign w:val="center"/>
          </w:tcPr>
          <w:p w14:paraId="6DDE798F">
            <w:pPr>
              <w:keepNext w:val="0"/>
              <w:keepLines w:val="0"/>
              <w:pageBreakBefore w:val="0"/>
              <w:widowControl w:val="0"/>
              <w:kinsoku/>
              <w:wordWrap/>
              <w:overflowPunct/>
              <w:topLinePunct w:val="0"/>
              <w:bidi w:val="0"/>
              <w:snapToGrid/>
              <w:spacing w:line="240" w:lineRule="auto"/>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紧急响应</w:t>
            </w:r>
          </w:p>
        </w:tc>
        <w:tc>
          <w:tcPr>
            <w:tcW w:w="420" w:type="pct"/>
            <w:vMerge w:val="restart"/>
            <w:noWrap w:val="0"/>
            <w:vAlign w:val="center"/>
          </w:tcPr>
          <w:p w14:paraId="2B0B7374">
            <w:pPr>
              <w:keepNext w:val="0"/>
              <w:keepLines w:val="0"/>
              <w:pageBreakBefore w:val="0"/>
              <w:widowControl w:val="0"/>
              <w:kinsoku/>
              <w:wordWrap/>
              <w:overflowPunct/>
              <w:topLinePunct w:val="0"/>
              <w:bidi w:val="0"/>
              <w:snapToGrid/>
              <w:spacing w:line="240" w:lineRule="auto"/>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5</w:t>
            </w:r>
            <w:r>
              <w:rPr>
                <w:rFonts w:hint="default" w:ascii="Times New Roman" w:hAnsi="Times New Roman" w:eastAsia="宋体" w:cs="Times New Roman"/>
                <w:sz w:val="18"/>
                <w:szCs w:val="18"/>
                <w:highlight w:val="none"/>
                <w:lang w:val="en-US" w:eastAsia="zh-CN"/>
              </w:rPr>
              <w:t>分</w:t>
            </w:r>
          </w:p>
        </w:tc>
        <w:tc>
          <w:tcPr>
            <w:tcW w:w="1947" w:type="pct"/>
            <w:vMerge w:val="restart"/>
            <w:noWrap w:val="0"/>
            <w:vAlign w:val="center"/>
          </w:tcPr>
          <w:p w14:paraId="68F967E6">
            <w:pPr>
              <w:keepNext w:val="0"/>
              <w:keepLines w:val="0"/>
              <w:pageBreakBefore w:val="0"/>
              <w:widowControl w:val="0"/>
              <w:kinsoku/>
              <w:wordWrap/>
              <w:overflowPunct/>
              <w:topLinePunct w:val="0"/>
              <w:bidi w:val="0"/>
              <w:snapToGrid/>
              <w:spacing w:line="240" w:lineRule="auto"/>
              <w:jc w:val="left"/>
              <w:rPr>
                <w:rFonts w:hint="default" w:ascii="Times New Roman" w:hAnsi="Times New Roman" w:eastAsia="宋体" w:cs="Times New Roman"/>
                <w:sz w:val="18"/>
                <w:szCs w:val="18"/>
                <w:highlight w:val="none"/>
                <w:lang w:val="en-US" w:eastAsia="zh-CN"/>
              </w:rPr>
            </w:pPr>
            <w:r>
              <w:rPr>
                <w:rFonts w:hint="eastAsia" w:cs="Times New Roman"/>
                <w:sz w:val="18"/>
                <w:szCs w:val="18"/>
                <w:highlight w:val="none"/>
                <w:lang w:val="en-US" w:eastAsia="zh-CN"/>
              </w:rPr>
              <w:t>根据</w:t>
            </w:r>
            <w:r>
              <w:rPr>
                <w:rFonts w:hint="default" w:ascii="Times New Roman" w:hAnsi="Times New Roman" w:cs="Times New Roman"/>
                <w:sz w:val="18"/>
                <w:szCs w:val="18"/>
                <w:highlight w:val="none"/>
                <w:lang w:val="en-US" w:eastAsia="zh-CN"/>
              </w:rPr>
              <w:t>供应商在紧急情况下处理突发问题的能力进行全面综合的评估，包括其对活动相关设施设备、活动所需物料的准备情况，以及针对突发情况所采取的应对措施的有效性和充分性。</w:t>
            </w:r>
          </w:p>
        </w:tc>
        <w:tc>
          <w:tcPr>
            <w:tcW w:w="838" w:type="pct"/>
            <w:noWrap w:val="0"/>
            <w:vAlign w:val="center"/>
          </w:tcPr>
          <w:p w14:paraId="06CFA8C9">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eastAsia="zh-CN"/>
              </w:rPr>
              <w:t>优</w:t>
            </w:r>
            <w:r>
              <w:rPr>
                <w:rFonts w:hint="default" w:ascii="Times New Roman" w:hAnsi="Times New Roman" w:cs="Times New Roman"/>
                <w:sz w:val="18"/>
                <w:szCs w:val="18"/>
                <w:highlight w:val="none"/>
                <w:lang w:val="en-US" w:eastAsia="zh-CN"/>
              </w:rPr>
              <w:t>3</w:t>
            </w:r>
            <w:r>
              <w:rPr>
                <w:rFonts w:hint="default" w:ascii="Times New Roman" w:hAnsi="Times New Roman" w:cs="Times New Roman"/>
                <w:sz w:val="18"/>
                <w:szCs w:val="18"/>
                <w:highlight w:val="none"/>
                <w:lang w:eastAsia="zh-CN"/>
              </w:rPr>
              <w:t>＜M≤</w:t>
            </w:r>
            <w:r>
              <w:rPr>
                <w:rFonts w:hint="default" w:ascii="Times New Roman" w:hAnsi="Times New Roman" w:cs="Times New Roman"/>
                <w:sz w:val="18"/>
                <w:szCs w:val="18"/>
                <w:highlight w:val="none"/>
                <w:lang w:val="en-US" w:eastAsia="zh-CN"/>
              </w:rPr>
              <w:t>5</w:t>
            </w:r>
          </w:p>
        </w:tc>
      </w:tr>
      <w:tr w14:paraId="5012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345" w:type="pct"/>
            <w:vMerge w:val="continue"/>
            <w:noWrap w:val="0"/>
            <w:vAlign w:val="center"/>
          </w:tcPr>
          <w:p w14:paraId="5292D556">
            <w:pPr>
              <w:keepNext w:val="0"/>
              <w:keepLines w:val="0"/>
              <w:pageBreakBefore w:val="0"/>
              <w:widowControl w:val="0"/>
              <w:kinsoku/>
              <w:wordWrap/>
              <w:overflowPunct/>
              <w:topLinePunct w:val="0"/>
              <w:bidi w:val="0"/>
              <w:adjustRightInd w:val="0"/>
              <w:snapToGrid/>
              <w:spacing w:before="156" w:after="156" w:line="240" w:lineRule="auto"/>
              <w:jc w:val="center"/>
              <w:textAlignment w:val="baseline"/>
              <w:rPr>
                <w:rFonts w:hint="default" w:ascii="Times New Roman" w:hAnsi="Times New Roman" w:cs="Times New Roman"/>
                <w:sz w:val="18"/>
                <w:szCs w:val="18"/>
                <w:highlight w:val="none"/>
              </w:rPr>
            </w:pPr>
          </w:p>
        </w:tc>
        <w:tc>
          <w:tcPr>
            <w:tcW w:w="589" w:type="pct"/>
            <w:vMerge w:val="continue"/>
            <w:noWrap w:val="0"/>
            <w:vAlign w:val="center"/>
          </w:tcPr>
          <w:p w14:paraId="3D8BD1A5">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p>
        </w:tc>
        <w:tc>
          <w:tcPr>
            <w:tcW w:w="859" w:type="pct"/>
            <w:vMerge w:val="continue"/>
            <w:noWrap w:val="0"/>
            <w:vAlign w:val="center"/>
          </w:tcPr>
          <w:p w14:paraId="68FA8514">
            <w:pPr>
              <w:keepNext w:val="0"/>
              <w:keepLines w:val="0"/>
              <w:pageBreakBefore w:val="0"/>
              <w:widowControl w:val="0"/>
              <w:kinsoku/>
              <w:wordWrap/>
              <w:overflowPunct/>
              <w:topLinePunct w:val="0"/>
              <w:bidi w:val="0"/>
              <w:snapToGrid/>
              <w:spacing w:line="240" w:lineRule="auto"/>
              <w:jc w:val="center"/>
              <w:rPr>
                <w:rFonts w:hint="default" w:ascii="Times New Roman" w:hAnsi="Times New Roman" w:eastAsia="宋体" w:cs="Times New Roman"/>
                <w:sz w:val="18"/>
                <w:szCs w:val="18"/>
                <w:highlight w:val="none"/>
                <w:lang w:val="en-US" w:eastAsia="zh-CN"/>
              </w:rPr>
            </w:pPr>
          </w:p>
        </w:tc>
        <w:tc>
          <w:tcPr>
            <w:tcW w:w="420" w:type="pct"/>
            <w:vMerge w:val="continue"/>
            <w:noWrap w:val="0"/>
            <w:vAlign w:val="center"/>
          </w:tcPr>
          <w:p w14:paraId="576B0AA9">
            <w:pPr>
              <w:keepNext w:val="0"/>
              <w:keepLines w:val="0"/>
              <w:pageBreakBefore w:val="0"/>
              <w:widowControl w:val="0"/>
              <w:kinsoku/>
              <w:wordWrap/>
              <w:overflowPunct/>
              <w:topLinePunct w:val="0"/>
              <w:bidi w:val="0"/>
              <w:snapToGrid/>
              <w:spacing w:line="240" w:lineRule="auto"/>
              <w:jc w:val="center"/>
              <w:rPr>
                <w:rFonts w:hint="default" w:ascii="Times New Roman" w:hAnsi="Times New Roman" w:eastAsia="宋体" w:cs="Times New Roman"/>
                <w:sz w:val="18"/>
                <w:szCs w:val="18"/>
                <w:highlight w:val="none"/>
                <w:lang w:val="en-US" w:eastAsia="zh-CN"/>
              </w:rPr>
            </w:pPr>
          </w:p>
        </w:tc>
        <w:tc>
          <w:tcPr>
            <w:tcW w:w="1947" w:type="pct"/>
            <w:vMerge w:val="continue"/>
            <w:noWrap w:val="0"/>
            <w:vAlign w:val="center"/>
          </w:tcPr>
          <w:p w14:paraId="07849B32">
            <w:pPr>
              <w:keepNext w:val="0"/>
              <w:keepLines w:val="0"/>
              <w:pageBreakBefore w:val="0"/>
              <w:widowControl w:val="0"/>
              <w:kinsoku/>
              <w:wordWrap/>
              <w:overflowPunct/>
              <w:topLinePunct w:val="0"/>
              <w:bidi w:val="0"/>
              <w:snapToGrid/>
              <w:spacing w:line="240" w:lineRule="auto"/>
              <w:jc w:val="left"/>
              <w:rPr>
                <w:rFonts w:hint="default" w:ascii="Times New Roman" w:hAnsi="Times New Roman" w:eastAsia="宋体" w:cs="Times New Roman"/>
                <w:sz w:val="18"/>
                <w:szCs w:val="18"/>
                <w:highlight w:val="none"/>
                <w:lang w:val="en-US" w:eastAsia="zh-CN"/>
              </w:rPr>
            </w:pPr>
          </w:p>
        </w:tc>
        <w:tc>
          <w:tcPr>
            <w:tcW w:w="838" w:type="pct"/>
            <w:noWrap w:val="0"/>
            <w:vAlign w:val="center"/>
          </w:tcPr>
          <w:p w14:paraId="24253CB3">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eastAsia="zh-CN"/>
              </w:rPr>
              <w:t>良</w:t>
            </w:r>
            <w:r>
              <w:rPr>
                <w:rFonts w:hint="default" w:ascii="Times New Roman" w:hAnsi="Times New Roman" w:cs="Times New Roman"/>
                <w:sz w:val="18"/>
                <w:szCs w:val="18"/>
                <w:highlight w:val="none"/>
                <w:lang w:val="en-US" w:eastAsia="zh-CN"/>
              </w:rPr>
              <w:t>1</w:t>
            </w:r>
            <w:r>
              <w:rPr>
                <w:rFonts w:hint="default" w:ascii="Times New Roman" w:hAnsi="Times New Roman" w:cs="Times New Roman"/>
                <w:sz w:val="18"/>
                <w:szCs w:val="18"/>
                <w:highlight w:val="none"/>
                <w:lang w:eastAsia="zh-CN"/>
              </w:rPr>
              <w:t>＜M≤</w:t>
            </w:r>
            <w:r>
              <w:rPr>
                <w:rFonts w:hint="default" w:ascii="Times New Roman" w:hAnsi="Times New Roman" w:cs="Times New Roman"/>
                <w:sz w:val="18"/>
                <w:szCs w:val="18"/>
                <w:highlight w:val="none"/>
                <w:lang w:val="en-US" w:eastAsia="zh-CN"/>
              </w:rPr>
              <w:t>3</w:t>
            </w:r>
          </w:p>
        </w:tc>
      </w:tr>
      <w:tr w14:paraId="7EB5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5" w:type="pct"/>
            <w:vMerge w:val="continue"/>
            <w:noWrap w:val="0"/>
            <w:vAlign w:val="center"/>
          </w:tcPr>
          <w:p w14:paraId="12A702ED">
            <w:pPr>
              <w:keepNext w:val="0"/>
              <w:keepLines w:val="0"/>
              <w:pageBreakBefore w:val="0"/>
              <w:widowControl w:val="0"/>
              <w:kinsoku/>
              <w:wordWrap/>
              <w:overflowPunct/>
              <w:topLinePunct w:val="0"/>
              <w:bidi w:val="0"/>
              <w:adjustRightInd w:val="0"/>
              <w:snapToGrid/>
              <w:spacing w:before="156" w:after="156" w:line="240" w:lineRule="auto"/>
              <w:jc w:val="center"/>
              <w:textAlignment w:val="baseline"/>
              <w:rPr>
                <w:rFonts w:hint="default" w:ascii="Times New Roman" w:hAnsi="Times New Roman" w:cs="Times New Roman"/>
                <w:sz w:val="18"/>
                <w:szCs w:val="18"/>
                <w:highlight w:val="none"/>
              </w:rPr>
            </w:pPr>
          </w:p>
        </w:tc>
        <w:tc>
          <w:tcPr>
            <w:tcW w:w="589" w:type="pct"/>
            <w:vMerge w:val="continue"/>
            <w:noWrap w:val="0"/>
            <w:vAlign w:val="center"/>
          </w:tcPr>
          <w:p w14:paraId="13D6069E">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p>
        </w:tc>
        <w:tc>
          <w:tcPr>
            <w:tcW w:w="859" w:type="pct"/>
            <w:vMerge w:val="continue"/>
            <w:noWrap w:val="0"/>
            <w:vAlign w:val="center"/>
          </w:tcPr>
          <w:p w14:paraId="7A3F392C">
            <w:pPr>
              <w:keepNext w:val="0"/>
              <w:keepLines w:val="0"/>
              <w:pageBreakBefore w:val="0"/>
              <w:widowControl w:val="0"/>
              <w:kinsoku/>
              <w:wordWrap/>
              <w:overflowPunct/>
              <w:topLinePunct w:val="0"/>
              <w:bidi w:val="0"/>
              <w:snapToGrid/>
              <w:spacing w:line="240" w:lineRule="auto"/>
              <w:jc w:val="center"/>
              <w:rPr>
                <w:rFonts w:hint="default" w:ascii="Times New Roman" w:hAnsi="Times New Roman" w:eastAsia="宋体" w:cs="Times New Roman"/>
                <w:sz w:val="18"/>
                <w:szCs w:val="18"/>
                <w:highlight w:val="none"/>
                <w:lang w:val="en-US" w:eastAsia="zh-CN"/>
              </w:rPr>
            </w:pPr>
          </w:p>
        </w:tc>
        <w:tc>
          <w:tcPr>
            <w:tcW w:w="420" w:type="pct"/>
            <w:vMerge w:val="continue"/>
            <w:noWrap w:val="0"/>
            <w:vAlign w:val="center"/>
          </w:tcPr>
          <w:p w14:paraId="072EEB0A">
            <w:pPr>
              <w:keepNext w:val="0"/>
              <w:keepLines w:val="0"/>
              <w:pageBreakBefore w:val="0"/>
              <w:widowControl w:val="0"/>
              <w:kinsoku/>
              <w:wordWrap/>
              <w:overflowPunct/>
              <w:topLinePunct w:val="0"/>
              <w:bidi w:val="0"/>
              <w:snapToGrid/>
              <w:spacing w:line="240" w:lineRule="auto"/>
              <w:jc w:val="center"/>
              <w:rPr>
                <w:rFonts w:hint="default" w:ascii="Times New Roman" w:hAnsi="Times New Roman" w:eastAsia="宋体" w:cs="Times New Roman"/>
                <w:sz w:val="18"/>
                <w:szCs w:val="18"/>
                <w:highlight w:val="none"/>
                <w:lang w:val="en-US" w:eastAsia="zh-CN"/>
              </w:rPr>
            </w:pPr>
          </w:p>
        </w:tc>
        <w:tc>
          <w:tcPr>
            <w:tcW w:w="1947" w:type="pct"/>
            <w:vMerge w:val="continue"/>
            <w:noWrap w:val="0"/>
            <w:vAlign w:val="center"/>
          </w:tcPr>
          <w:p w14:paraId="76EEFE1E">
            <w:pPr>
              <w:keepNext w:val="0"/>
              <w:keepLines w:val="0"/>
              <w:pageBreakBefore w:val="0"/>
              <w:widowControl w:val="0"/>
              <w:kinsoku/>
              <w:wordWrap/>
              <w:overflowPunct/>
              <w:topLinePunct w:val="0"/>
              <w:bidi w:val="0"/>
              <w:snapToGrid/>
              <w:spacing w:line="240" w:lineRule="auto"/>
              <w:jc w:val="left"/>
              <w:rPr>
                <w:rFonts w:hint="default" w:ascii="Times New Roman" w:hAnsi="Times New Roman" w:eastAsia="宋体" w:cs="Times New Roman"/>
                <w:sz w:val="18"/>
                <w:szCs w:val="18"/>
                <w:highlight w:val="none"/>
                <w:lang w:val="en-US" w:eastAsia="zh-CN"/>
              </w:rPr>
            </w:pPr>
          </w:p>
        </w:tc>
        <w:tc>
          <w:tcPr>
            <w:tcW w:w="838" w:type="pct"/>
            <w:noWrap w:val="0"/>
            <w:vAlign w:val="center"/>
          </w:tcPr>
          <w:p w14:paraId="607BB879">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eastAsia="zh-CN"/>
              </w:rPr>
              <w:t>一般0≤M≤</w:t>
            </w:r>
            <w:r>
              <w:rPr>
                <w:rFonts w:hint="default" w:ascii="Times New Roman" w:hAnsi="Times New Roman" w:cs="Times New Roman"/>
                <w:sz w:val="18"/>
                <w:szCs w:val="18"/>
                <w:highlight w:val="none"/>
                <w:lang w:val="en-US" w:eastAsia="zh-CN"/>
              </w:rPr>
              <w:t>1</w:t>
            </w:r>
          </w:p>
        </w:tc>
      </w:tr>
      <w:tr w14:paraId="48A5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345" w:type="pct"/>
            <w:vMerge w:val="continue"/>
            <w:noWrap w:val="0"/>
            <w:vAlign w:val="center"/>
          </w:tcPr>
          <w:p w14:paraId="15928B43">
            <w:pPr>
              <w:keepNext w:val="0"/>
              <w:keepLines w:val="0"/>
              <w:pageBreakBefore w:val="0"/>
              <w:widowControl w:val="0"/>
              <w:kinsoku/>
              <w:wordWrap/>
              <w:overflowPunct/>
              <w:topLinePunct w:val="0"/>
              <w:bidi w:val="0"/>
              <w:adjustRightInd w:val="0"/>
              <w:snapToGrid/>
              <w:spacing w:before="156" w:after="156" w:line="240" w:lineRule="auto"/>
              <w:jc w:val="center"/>
              <w:textAlignment w:val="baseline"/>
              <w:rPr>
                <w:rFonts w:hint="default" w:ascii="Times New Roman" w:hAnsi="Times New Roman" w:cs="Times New Roman"/>
                <w:sz w:val="18"/>
                <w:szCs w:val="18"/>
                <w:highlight w:val="none"/>
              </w:rPr>
            </w:pPr>
          </w:p>
        </w:tc>
        <w:tc>
          <w:tcPr>
            <w:tcW w:w="589" w:type="pct"/>
            <w:vMerge w:val="continue"/>
            <w:noWrap w:val="0"/>
            <w:vAlign w:val="center"/>
          </w:tcPr>
          <w:p w14:paraId="114BCC74">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p>
        </w:tc>
        <w:tc>
          <w:tcPr>
            <w:tcW w:w="859" w:type="pct"/>
            <w:vMerge w:val="restart"/>
            <w:noWrap w:val="0"/>
            <w:vAlign w:val="center"/>
          </w:tcPr>
          <w:p w14:paraId="19F45056">
            <w:pPr>
              <w:keepNext w:val="0"/>
              <w:keepLines w:val="0"/>
              <w:pageBreakBefore w:val="0"/>
              <w:widowControl w:val="0"/>
              <w:kinsoku/>
              <w:wordWrap/>
              <w:overflowPunct/>
              <w:topLinePunct w:val="0"/>
              <w:bidi w:val="0"/>
              <w:snapToGrid/>
              <w:spacing w:line="240" w:lineRule="auto"/>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人员</w:t>
            </w:r>
            <w:r>
              <w:rPr>
                <w:rFonts w:hint="eastAsia" w:cs="Times New Roman"/>
                <w:sz w:val="18"/>
                <w:szCs w:val="18"/>
                <w:highlight w:val="none"/>
                <w:lang w:val="en-US" w:eastAsia="zh-CN"/>
              </w:rPr>
              <w:t>配置</w:t>
            </w:r>
          </w:p>
        </w:tc>
        <w:tc>
          <w:tcPr>
            <w:tcW w:w="420" w:type="pct"/>
            <w:vMerge w:val="restart"/>
            <w:noWrap w:val="0"/>
            <w:vAlign w:val="center"/>
          </w:tcPr>
          <w:p w14:paraId="488B0C04">
            <w:pPr>
              <w:keepNext w:val="0"/>
              <w:keepLines w:val="0"/>
              <w:pageBreakBefore w:val="0"/>
              <w:widowControl w:val="0"/>
              <w:kinsoku/>
              <w:wordWrap/>
              <w:overflowPunct/>
              <w:topLinePunct w:val="0"/>
              <w:bidi w:val="0"/>
              <w:snapToGrid/>
              <w:spacing w:line="240" w:lineRule="auto"/>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5分</w:t>
            </w:r>
          </w:p>
        </w:tc>
        <w:tc>
          <w:tcPr>
            <w:tcW w:w="1947" w:type="pct"/>
            <w:vMerge w:val="restart"/>
            <w:noWrap w:val="0"/>
            <w:vAlign w:val="center"/>
          </w:tcPr>
          <w:p w14:paraId="7BD37393">
            <w:pPr>
              <w:keepNext w:val="0"/>
              <w:keepLines w:val="0"/>
              <w:pageBreakBefore w:val="0"/>
              <w:widowControl w:val="0"/>
              <w:kinsoku/>
              <w:wordWrap/>
              <w:overflowPunct/>
              <w:topLinePunct w:val="0"/>
              <w:bidi w:val="0"/>
              <w:snapToGrid/>
              <w:spacing w:line="240" w:lineRule="auto"/>
              <w:jc w:val="left"/>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根据供应商</w:t>
            </w:r>
            <w:r>
              <w:rPr>
                <w:rFonts w:hint="default" w:ascii="Times New Roman" w:hAnsi="Times New Roman" w:cs="Times New Roman"/>
                <w:sz w:val="18"/>
                <w:szCs w:val="18"/>
                <w:highlight w:val="none"/>
                <w:lang w:val="en-US" w:eastAsia="zh-CN"/>
              </w:rPr>
              <w:t>对本项目的</w:t>
            </w:r>
            <w:r>
              <w:rPr>
                <w:rFonts w:hint="eastAsia" w:cs="Times New Roman"/>
                <w:sz w:val="18"/>
                <w:szCs w:val="18"/>
                <w:highlight w:val="none"/>
                <w:lang w:val="en-US" w:eastAsia="zh-CN"/>
              </w:rPr>
              <w:t>人员配置</w:t>
            </w:r>
            <w:r>
              <w:rPr>
                <w:rFonts w:hint="default" w:ascii="Times New Roman" w:hAnsi="Times New Roman" w:cs="Times New Roman"/>
                <w:sz w:val="18"/>
                <w:szCs w:val="18"/>
                <w:highlight w:val="none"/>
                <w:lang w:val="en-US" w:eastAsia="zh-CN"/>
              </w:rPr>
              <w:t>响应</w:t>
            </w:r>
            <w:r>
              <w:rPr>
                <w:rFonts w:hint="default" w:ascii="Times New Roman" w:hAnsi="Times New Roman" w:eastAsia="宋体" w:cs="Times New Roman"/>
                <w:sz w:val="18"/>
                <w:szCs w:val="18"/>
                <w:highlight w:val="none"/>
                <w:lang w:val="en-US" w:eastAsia="zh-CN"/>
              </w:rPr>
              <w:t>情况</w:t>
            </w:r>
            <w:r>
              <w:rPr>
                <w:rFonts w:hint="default" w:ascii="Times New Roman" w:hAnsi="Times New Roman" w:cs="Times New Roman"/>
                <w:sz w:val="18"/>
                <w:szCs w:val="18"/>
                <w:highlight w:val="none"/>
                <w:lang w:val="en-US" w:eastAsia="zh-CN"/>
              </w:rPr>
              <w:t>等</w:t>
            </w:r>
            <w:r>
              <w:rPr>
                <w:rFonts w:hint="default" w:ascii="Times New Roman" w:hAnsi="Times New Roman" w:eastAsia="宋体" w:cs="Times New Roman"/>
                <w:sz w:val="18"/>
                <w:szCs w:val="18"/>
                <w:highlight w:val="none"/>
                <w:lang w:val="en-US" w:eastAsia="zh-CN"/>
              </w:rPr>
              <w:t>进行综合评估</w:t>
            </w:r>
            <w:r>
              <w:rPr>
                <w:rFonts w:hint="default" w:ascii="Times New Roman" w:hAnsi="Times New Roman" w:cs="Times New Roman"/>
                <w:sz w:val="18"/>
                <w:szCs w:val="18"/>
                <w:highlight w:val="none"/>
                <w:lang w:val="en-US" w:eastAsia="zh-CN"/>
              </w:rPr>
              <w:t>。</w:t>
            </w:r>
          </w:p>
        </w:tc>
        <w:tc>
          <w:tcPr>
            <w:tcW w:w="838" w:type="pct"/>
            <w:noWrap w:val="0"/>
            <w:vAlign w:val="center"/>
          </w:tcPr>
          <w:p w14:paraId="260D75D8">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优</w:t>
            </w:r>
            <w:r>
              <w:rPr>
                <w:rFonts w:hint="default" w:ascii="Times New Roman" w:hAnsi="Times New Roman" w:cs="Times New Roman"/>
                <w:sz w:val="18"/>
                <w:szCs w:val="18"/>
                <w:highlight w:val="none"/>
                <w:lang w:val="en-US" w:eastAsia="zh-CN"/>
              </w:rPr>
              <w:t>3</w:t>
            </w:r>
            <w:r>
              <w:rPr>
                <w:rFonts w:hint="default" w:ascii="Times New Roman" w:hAnsi="Times New Roman" w:cs="Times New Roman"/>
                <w:sz w:val="18"/>
                <w:szCs w:val="18"/>
                <w:highlight w:val="none"/>
                <w:lang w:eastAsia="zh-CN"/>
              </w:rPr>
              <w:t>＜M≤</w:t>
            </w:r>
            <w:r>
              <w:rPr>
                <w:rFonts w:hint="default" w:ascii="Times New Roman" w:hAnsi="Times New Roman" w:cs="Times New Roman"/>
                <w:sz w:val="18"/>
                <w:szCs w:val="18"/>
                <w:highlight w:val="none"/>
                <w:lang w:val="en-US" w:eastAsia="zh-CN"/>
              </w:rPr>
              <w:t>5</w:t>
            </w:r>
          </w:p>
        </w:tc>
      </w:tr>
      <w:tr w14:paraId="49A7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45" w:type="pct"/>
            <w:vMerge w:val="continue"/>
            <w:noWrap w:val="0"/>
            <w:vAlign w:val="center"/>
          </w:tcPr>
          <w:p w14:paraId="0DB15562">
            <w:pPr>
              <w:keepNext w:val="0"/>
              <w:keepLines w:val="0"/>
              <w:pageBreakBefore w:val="0"/>
              <w:widowControl w:val="0"/>
              <w:kinsoku/>
              <w:wordWrap/>
              <w:overflowPunct/>
              <w:topLinePunct w:val="0"/>
              <w:bidi w:val="0"/>
              <w:adjustRightInd w:val="0"/>
              <w:snapToGrid/>
              <w:spacing w:before="156" w:after="156" w:line="240" w:lineRule="auto"/>
              <w:jc w:val="center"/>
              <w:textAlignment w:val="baseline"/>
              <w:rPr>
                <w:rFonts w:hint="default" w:ascii="Times New Roman" w:hAnsi="Times New Roman" w:cs="Times New Roman"/>
                <w:sz w:val="18"/>
                <w:szCs w:val="18"/>
                <w:highlight w:val="none"/>
              </w:rPr>
            </w:pPr>
          </w:p>
        </w:tc>
        <w:tc>
          <w:tcPr>
            <w:tcW w:w="589" w:type="pct"/>
            <w:vMerge w:val="continue"/>
            <w:noWrap w:val="0"/>
            <w:vAlign w:val="center"/>
          </w:tcPr>
          <w:p w14:paraId="76AD5A41">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p>
        </w:tc>
        <w:tc>
          <w:tcPr>
            <w:tcW w:w="859" w:type="pct"/>
            <w:vMerge w:val="continue"/>
            <w:noWrap w:val="0"/>
            <w:vAlign w:val="center"/>
          </w:tcPr>
          <w:p w14:paraId="5B145A95">
            <w:pPr>
              <w:keepNext w:val="0"/>
              <w:keepLines w:val="0"/>
              <w:pageBreakBefore w:val="0"/>
              <w:widowControl w:val="0"/>
              <w:kinsoku/>
              <w:wordWrap/>
              <w:overflowPunct/>
              <w:topLinePunct w:val="0"/>
              <w:bidi w:val="0"/>
              <w:snapToGrid/>
              <w:spacing w:line="240" w:lineRule="auto"/>
              <w:jc w:val="center"/>
              <w:rPr>
                <w:rFonts w:hint="default" w:ascii="Times New Roman" w:hAnsi="Times New Roman" w:eastAsia="宋体" w:cs="Times New Roman"/>
                <w:sz w:val="18"/>
                <w:szCs w:val="18"/>
                <w:highlight w:val="none"/>
                <w:lang w:val="en-US" w:eastAsia="zh-CN"/>
              </w:rPr>
            </w:pPr>
          </w:p>
        </w:tc>
        <w:tc>
          <w:tcPr>
            <w:tcW w:w="420" w:type="pct"/>
            <w:vMerge w:val="continue"/>
            <w:noWrap w:val="0"/>
            <w:vAlign w:val="center"/>
          </w:tcPr>
          <w:p w14:paraId="77196001">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p>
        </w:tc>
        <w:tc>
          <w:tcPr>
            <w:tcW w:w="1947" w:type="pct"/>
            <w:vMerge w:val="continue"/>
            <w:noWrap w:val="0"/>
            <w:vAlign w:val="center"/>
          </w:tcPr>
          <w:p w14:paraId="1AB25F16">
            <w:pPr>
              <w:keepNext w:val="0"/>
              <w:keepLines w:val="0"/>
              <w:pageBreakBefore w:val="0"/>
              <w:widowControl w:val="0"/>
              <w:kinsoku/>
              <w:wordWrap/>
              <w:overflowPunct/>
              <w:topLinePunct w:val="0"/>
              <w:bidi w:val="0"/>
              <w:snapToGrid/>
              <w:spacing w:line="240" w:lineRule="auto"/>
              <w:jc w:val="left"/>
              <w:rPr>
                <w:rFonts w:hint="default" w:ascii="Times New Roman" w:hAnsi="Times New Roman" w:eastAsia="宋体" w:cs="Times New Roman"/>
                <w:sz w:val="18"/>
                <w:szCs w:val="18"/>
                <w:highlight w:val="none"/>
                <w:lang w:val="en-US" w:eastAsia="zh-CN"/>
              </w:rPr>
            </w:pPr>
          </w:p>
        </w:tc>
        <w:tc>
          <w:tcPr>
            <w:tcW w:w="838" w:type="pct"/>
            <w:noWrap w:val="0"/>
            <w:vAlign w:val="center"/>
          </w:tcPr>
          <w:p w14:paraId="19619B32">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良</w:t>
            </w:r>
            <w:r>
              <w:rPr>
                <w:rFonts w:hint="default" w:ascii="Times New Roman" w:hAnsi="Times New Roman" w:cs="Times New Roman"/>
                <w:sz w:val="18"/>
                <w:szCs w:val="18"/>
                <w:highlight w:val="none"/>
                <w:lang w:val="en-US" w:eastAsia="zh-CN"/>
              </w:rPr>
              <w:t>1</w:t>
            </w:r>
            <w:r>
              <w:rPr>
                <w:rFonts w:hint="default" w:ascii="Times New Roman" w:hAnsi="Times New Roman" w:cs="Times New Roman"/>
                <w:sz w:val="18"/>
                <w:szCs w:val="18"/>
                <w:highlight w:val="none"/>
                <w:lang w:eastAsia="zh-CN"/>
              </w:rPr>
              <w:t>＜M≤</w:t>
            </w:r>
            <w:r>
              <w:rPr>
                <w:rFonts w:hint="default" w:ascii="Times New Roman" w:hAnsi="Times New Roman" w:cs="Times New Roman"/>
                <w:sz w:val="18"/>
                <w:szCs w:val="18"/>
                <w:highlight w:val="none"/>
                <w:lang w:val="en-US" w:eastAsia="zh-CN"/>
              </w:rPr>
              <w:t>3</w:t>
            </w:r>
          </w:p>
        </w:tc>
      </w:tr>
      <w:tr w14:paraId="2FC6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45" w:type="pct"/>
            <w:vMerge w:val="continue"/>
            <w:noWrap w:val="0"/>
            <w:vAlign w:val="center"/>
          </w:tcPr>
          <w:p w14:paraId="0F1BC5AE">
            <w:pPr>
              <w:keepNext w:val="0"/>
              <w:keepLines w:val="0"/>
              <w:pageBreakBefore w:val="0"/>
              <w:widowControl w:val="0"/>
              <w:kinsoku/>
              <w:wordWrap/>
              <w:overflowPunct/>
              <w:topLinePunct w:val="0"/>
              <w:bidi w:val="0"/>
              <w:adjustRightInd w:val="0"/>
              <w:snapToGrid/>
              <w:spacing w:before="156" w:after="156" w:line="240" w:lineRule="auto"/>
              <w:jc w:val="center"/>
              <w:textAlignment w:val="baseline"/>
              <w:rPr>
                <w:rFonts w:hint="default" w:ascii="Times New Roman" w:hAnsi="Times New Roman" w:cs="Times New Roman"/>
                <w:sz w:val="18"/>
                <w:szCs w:val="18"/>
                <w:highlight w:val="none"/>
              </w:rPr>
            </w:pPr>
          </w:p>
        </w:tc>
        <w:tc>
          <w:tcPr>
            <w:tcW w:w="589" w:type="pct"/>
            <w:vMerge w:val="continue"/>
            <w:noWrap w:val="0"/>
            <w:vAlign w:val="center"/>
          </w:tcPr>
          <w:p w14:paraId="44CFB67C">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p>
        </w:tc>
        <w:tc>
          <w:tcPr>
            <w:tcW w:w="859" w:type="pct"/>
            <w:vMerge w:val="continue"/>
            <w:noWrap w:val="0"/>
            <w:vAlign w:val="center"/>
          </w:tcPr>
          <w:p w14:paraId="3C2122A2">
            <w:pPr>
              <w:keepNext w:val="0"/>
              <w:keepLines w:val="0"/>
              <w:pageBreakBefore w:val="0"/>
              <w:widowControl w:val="0"/>
              <w:kinsoku/>
              <w:wordWrap/>
              <w:overflowPunct/>
              <w:topLinePunct w:val="0"/>
              <w:bidi w:val="0"/>
              <w:snapToGrid/>
              <w:spacing w:line="240" w:lineRule="auto"/>
              <w:jc w:val="center"/>
              <w:rPr>
                <w:rFonts w:hint="default" w:ascii="Times New Roman" w:hAnsi="Times New Roman" w:eastAsia="宋体" w:cs="Times New Roman"/>
                <w:sz w:val="18"/>
                <w:szCs w:val="18"/>
                <w:highlight w:val="none"/>
                <w:lang w:val="en-US" w:eastAsia="zh-CN"/>
              </w:rPr>
            </w:pPr>
          </w:p>
        </w:tc>
        <w:tc>
          <w:tcPr>
            <w:tcW w:w="420" w:type="pct"/>
            <w:vMerge w:val="continue"/>
            <w:noWrap w:val="0"/>
            <w:vAlign w:val="center"/>
          </w:tcPr>
          <w:p w14:paraId="1B7B92CB">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p>
        </w:tc>
        <w:tc>
          <w:tcPr>
            <w:tcW w:w="1947" w:type="pct"/>
            <w:vMerge w:val="continue"/>
            <w:noWrap w:val="0"/>
            <w:vAlign w:val="center"/>
          </w:tcPr>
          <w:p w14:paraId="6F13B04A">
            <w:pPr>
              <w:keepNext w:val="0"/>
              <w:keepLines w:val="0"/>
              <w:pageBreakBefore w:val="0"/>
              <w:widowControl w:val="0"/>
              <w:kinsoku/>
              <w:wordWrap/>
              <w:overflowPunct/>
              <w:topLinePunct w:val="0"/>
              <w:bidi w:val="0"/>
              <w:snapToGrid/>
              <w:spacing w:line="240" w:lineRule="auto"/>
              <w:jc w:val="left"/>
              <w:rPr>
                <w:rFonts w:hint="default" w:ascii="Times New Roman" w:hAnsi="Times New Roman" w:eastAsia="宋体" w:cs="Times New Roman"/>
                <w:sz w:val="18"/>
                <w:szCs w:val="18"/>
                <w:highlight w:val="none"/>
                <w:lang w:val="en-US" w:eastAsia="zh-CN"/>
              </w:rPr>
            </w:pPr>
          </w:p>
        </w:tc>
        <w:tc>
          <w:tcPr>
            <w:tcW w:w="838" w:type="pct"/>
            <w:noWrap w:val="0"/>
            <w:vAlign w:val="center"/>
          </w:tcPr>
          <w:p w14:paraId="3731AD55">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一般0≤M≤</w:t>
            </w:r>
            <w:r>
              <w:rPr>
                <w:rFonts w:hint="default" w:ascii="Times New Roman" w:hAnsi="Times New Roman" w:cs="Times New Roman"/>
                <w:sz w:val="18"/>
                <w:szCs w:val="18"/>
                <w:highlight w:val="none"/>
                <w:lang w:val="en-US" w:eastAsia="zh-CN"/>
              </w:rPr>
              <w:t>1</w:t>
            </w:r>
          </w:p>
        </w:tc>
      </w:tr>
      <w:tr w14:paraId="3FA9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45" w:type="pct"/>
            <w:vMerge w:val="continue"/>
            <w:noWrap w:val="0"/>
            <w:vAlign w:val="center"/>
          </w:tcPr>
          <w:p w14:paraId="2179FF7A">
            <w:pPr>
              <w:keepNext w:val="0"/>
              <w:keepLines w:val="0"/>
              <w:pageBreakBefore w:val="0"/>
              <w:widowControl w:val="0"/>
              <w:kinsoku/>
              <w:wordWrap/>
              <w:overflowPunct/>
              <w:topLinePunct w:val="0"/>
              <w:bidi w:val="0"/>
              <w:adjustRightInd w:val="0"/>
              <w:snapToGrid/>
              <w:spacing w:before="156" w:after="156" w:line="240" w:lineRule="auto"/>
              <w:jc w:val="center"/>
              <w:textAlignment w:val="baseline"/>
              <w:rPr>
                <w:rFonts w:hint="default" w:ascii="Times New Roman" w:hAnsi="Times New Roman" w:cs="Times New Roman"/>
                <w:sz w:val="18"/>
                <w:szCs w:val="18"/>
                <w:highlight w:val="none"/>
              </w:rPr>
            </w:pPr>
          </w:p>
        </w:tc>
        <w:tc>
          <w:tcPr>
            <w:tcW w:w="589" w:type="pct"/>
            <w:vMerge w:val="continue"/>
            <w:noWrap w:val="0"/>
            <w:vAlign w:val="center"/>
          </w:tcPr>
          <w:p w14:paraId="3D4ABF23">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p>
        </w:tc>
        <w:tc>
          <w:tcPr>
            <w:tcW w:w="859" w:type="pct"/>
            <w:vMerge w:val="restart"/>
            <w:noWrap w:val="0"/>
            <w:vAlign w:val="center"/>
          </w:tcPr>
          <w:p w14:paraId="11A6E491">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售后保障</w:t>
            </w:r>
            <w:r>
              <w:rPr>
                <w:rFonts w:hint="default" w:ascii="Times New Roman" w:hAnsi="Times New Roman" w:cs="Times New Roman"/>
                <w:sz w:val="18"/>
                <w:szCs w:val="18"/>
                <w:highlight w:val="none"/>
                <w:lang w:val="en-US" w:eastAsia="zh-CN"/>
              </w:rPr>
              <w:t>及</w:t>
            </w:r>
          </w:p>
          <w:p w14:paraId="5ED4F511">
            <w:pPr>
              <w:keepNext w:val="0"/>
              <w:keepLines w:val="0"/>
              <w:pageBreakBefore w:val="0"/>
              <w:widowControl w:val="0"/>
              <w:kinsoku/>
              <w:wordWrap/>
              <w:overflowPunct/>
              <w:topLinePunct w:val="0"/>
              <w:bidi w:val="0"/>
              <w:snapToGrid/>
              <w:spacing w:line="240" w:lineRule="auto"/>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承诺</w:t>
            </w:r>
          </w:p>
        </w:tc>
        <w:tc>
          <w:tcPr>
            <w:tcW w:w="420" w:type="pct"/>
            <w:vMerge w:val="restart"/>
            <w:noWrap w:val="0"/>
            <w:vAlign w:val="center"/>
          </w:tcPr>
          <w:p w14:paraId="3F237D6E">
            <w:pPr>
              <w:keepNext w:val="0"/>
              <w:keepLines w:val="0"/>
              <w:pageBreakBefore w:val="0"/>
              <w:widowControl w:val="0"/>
              <w:kinsoku/>
              <w:wordWrap/>
              <w:overflowPunct/>
              <w:topLinePunct w:val="0"/>
              <w:bidi w:val="0"/>
              <w:snapToGrid/>
              <w:spacing w:line="240" w:lineRule="auto"/>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5分</w:t>
            </w:r>
          </w:p>
        </w:tc>
        <w:tc>
          <w:tcPr>
            <w:tcW w:w="1947" w:type="pct"/>
            <w:vMerge w:val="restart"/>
            <w:noWrap w:val="0"/>
            <w:vAlign w:val="center"/>
          </w:tcPr>
          <w:p w14:paraId="43FE5815">
            <w:pPr>
              <w:keepNext w:val="0"/>
              <w:keepLines w:val="0"/>
              <w:pageBreakBefore w:val="0"/>
              <w:widowControl w:val="0"/>
              <w:kinsoku/>
              <w:wordWrap/>
              <w:overflowPunct/>
              <w:topLinePunct w:val="0"/>
              <w:bidi w:val="0"/>
              <w:snapToGrid/>
              <w:spacing w:line="240" w:lineRule="auto"/>
              <w:jc w:val="left"/>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根据供应商对</w:t>
            </w:r>
            <w:r>
              <w:rPr>
                <w:rFonts w:hint="default" w:ascii="Times New Roman" w:hAnsi="Times New Roman" w:cs="Times New Roman"/>
                <w:sz w:val="18"/>
                <w:szCs w:val="18"/>
                <w:highlight w:val="none"/>
                <w:lang w:val="en-US" w:eastAsia="zh-CN"/>
              </w:rPr>
              <w:t>本项目的</w:t>
            </w:r>
            <w:r>
              <w:rPr>
                <w:rFonts w:hint="default" w:ascii="Times New Roman" w:hAnsi="Times New Roman" w:eastAsia="宋体" w:cs="Times New Roman"/>
                <w:sz w:val="18"/>
                <w:szCs w:val="18"/>
                <w:highlight w:val="none"/>
                <w:lang w:val="en-US" w:eastAsia="zh-CN"/>
              </w:rPr>
              <w:t>售后服务响应情况等进行综合评估。</w:t>
            </w:r>
          </w:p>
        </w:tc>
        <w:tc>
          <w:tcPr>
            <w:tcW w:w="838" w:type="pct"/>
            <w:noWrap w:val="0"/>
            <w:vAlign w:val="center"/>
          </w:tcPr>
          <w:p w14:paraId="32C2CD7F">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eastAsia="zh-CN"/>
              </w:rPr>
              <w:t>优</w:t>
            </w:r>
            <w:r>
              <w:rPr>
                <w:rFonts w:hint="default" w:ascii="Times New Roman" w:hAnsi="Times New Roman" w:cs="Times New Roman"/>
                <w:sz w:val="18"/>
                <w:szCs w:val="18"/>
                <w:highlight w:val="none"/>
                <w:lang w:val="en-US" w:eastAsia="zh-CN"/>
              </w:rPr>
              <w:t>3</w:t>
            </w:r>
            <w:r>
              <w:rPr>
                <w:rFonts w:hint="default" w:ascii="Times New Roman" w:hAnsi="Times New Roman" w:cs="Times New Roman"/>
                <w:sz w:val="18"/>
                <w:szCs w:val="18"/>
                <w:highlight w:val="none"/>
                <w:lang w:eastAsia="zh-CN"/>
              </w:rPr>
              <w:t>＜M≤</w:t>
            </w:r>
            <w:r>
              <w:rPr>
                <w:rFonts w:hint="default" w:ascii="Times New Roman" w:hAnsi="Times New Roman" w:cs="Times New Roman"/>
                <w:sz w:val="18"/>
                <w:szCs w:val="18"/>
                <w:highlight w:val="none"/>
                <w:lang w:val="en-US" w:eastAsia="zh-CN"/>
              </w:rPr>
              <w:t>5</w:t>
            </w:r>
          </w:p>
        </w:tc>
      </w:tr>
      <w:tr w14:paraId="0485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45" w:type="pct"/>
            <w:vMerge w:val="continue"/>
            <w:noWrap w:val="0"/>
            <w:vAlign w:val="center"/>
          </w:tcPr>
          <w:p w14:paraId="5945BF6B">
            <w:pPr>
              <w:keepNext w:val="0"/>
              <w:keepLines w:val="0"/>
              <w:pageBreakBefore w:val="0"/>
              <w:widowControl w:val="0"/>
              <w:kinsoku/>
              <w:wordWrap/>
              <w:overflowPunct/>
              <w:topLinePunct w:val="0"/>
              <w:bidi w:val="0"/>
              <w:adjustRightInd w:val="0"/>
              <w:snapToGrid/>
              <w:spacing w:before="156" w:after="156" w:line="240" w:lineRule="auto"/>
              <w:jc w:val="center"/>
              <w:textAlignment w:val="baseline"/>
              <w:rPr>
                <w:rFonts w:hint="default" w:ascii="Times New Roman" w:hAnsi="Times New Roman" w:cs="Times New Roman"/>
                <w:sz w:val="18"/>
                <w:szCs w:val="18"/>
                <w:highlight w:val="none"/>
              </w:rPr>
            </w:pPr>
          </w:p>
        </w:tc>
        <w:tc>
          <w:tcPr>
            <w:tcW w:w="589" w:type="pct"/>
            <w:vMerge w:val="continue"/>
            <w:noWrap w:val="0"/>
            <w:vAlign w:val="center"/>
          </w:tcPr>
          <w:p w14:paraId="1C6050AA">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p>
        </w:tc>
        <w:tc>
          <w:tcPr>
            <w:tcW w:w="859" w:type="pct"/>
            <w:vMerge w:val="continue"/>
            <w:noWrap w:val="0"/>
            <w:vAlign w:val="center"/>
          </w:tcPr>
          <w:p w14:paraId="7A3B6778">
            <w:pPr>
              <w:keepNext w:val="0"/>
              <w:keepLines w:val="0"/>
              <w:pageBreakBefore w:val="0"/>
              <w:widowControl w:val="0"/>
              <w:kinsoku/>
              <w:wordWrap/>
              <w:overflowPunct/>
              <w:topLinePunct w:val="0"/>
              <w:bidi w:val="0"/>
              <w:snapToGrid/>
              <w:spacing w:line="240" w:lineRule="auto"/>
              <w:rPr>
                <w:rFonts w:hint="default" w:ascii="Times New Roman" w:hAnsi="Times New Roman" w:cs="Times New Roman"/>
                <w:sz w:val="18"/>
                <w:szCs w:val="18"/>
                <w:highlight w:val="none"/>
                <w:lang w:eastAsia="zh-CN"/>
              </w:rPr>
            </w:pPr>
          </w:p>
        </w:tc>
        <w:tc>
          <w:tcPr>
            <w:tcW w:w="420" w:type="pct"/>
            <w:vMerge w:val="continue"/>
            <w:noWrap w:val="0"/>
            <w:vAlign w:val="center"/>
          </w:tcPr>
          <w:p w14:paraId="3C74659F">
            <w:pPr>
              <w:keepNext w:val="0"/>
              <w:keepLines w:val="0"/>
              <w:pageBreakBefore w:val="0"/>
              <w:widowControl w:val="0"/>
              <w:kinsoku/>
              <w:wordWrap/>
              <w:overflowPunct/>
              <w:topLinePunct w:val="0"/>
              <w:bidi w:val="0"/>
              <w:snapToGrid/>
              <w:spacing w:line="240" w:lineRule="auto"/>
              <w:rPr>
                <w:rFonts w:hint="default" w:ascii="Times New Roman" w:hAnsi="Times New Roman" w:cs="Times New Roman"/>
                <w:sz w:val="18"/>
                <w:szCs w:val="18"/>
                <w:highlight w:val="none"/>
                <w:lang w:val="en-US" w:eastAsia="zh-CN"/>
              </w:rPr>
            </w:pPr>
          </w:p>
        </w:tc>
        <w:tc>
          <w:tcPr>
            <w:tcW w:w="1947" w:type="pct"/>
            <w:vMerge w:val="continue"/>
            <w:noWrap w:val="0"/>
            <w:vAlign w:val="center"/>
          </w:tcPr>
          <w:p w14:paraId="27177A94">
            <w:pPr>
              <w:keepNext w:val="0"/>
              <w:keepLines w:val="0"/>
              <w:pageBreakBefore w:val="0"/>
              <w:widowControl w:val="0"/>
              <w:kinsoku/>
              <w:wordWrap/>
              <w:overflowPunct/>
              <w:topLinePunct w:val="0"/>
              <w:bidi w:val="0"/>
              <w:snapToGrid/>
              <w:spacing w:line="240" w:lineRule="auto"/>
              <w:rPr>
                <w:rFonts w:hint="default" w:ascii="Times New Roman" w:hAnsi="Times New Roman" w:eastAsia="宋体" w:cs="Times New Roman"/>
                <w:sz w:val="18"/>
                <w:szCs w:val="18"/>
                <w:highlight w:val="none"/>
                <w:lang w:eastAsia="zh-CN"/>
              </w:rPr>
            </w:pPr>
          </w:p>
        </w:tc>
        <w:tc>
          <w:tcPr>
            <w:tcW w:w="838" w:type="pct"/>
            <w:noWrap w:val="0"/>
            <w:vAlign w:val="center"/>
          </w:tcPr>
          <w:p w14:paraId="17AD06EE">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eastAsia="zh-CN"/>
              </w:rPr>
              <w:t>良</w:t>
            </w:r>
            <w:r>
              <w:rPr>
                <w:rFonts w:hint="default" w:ascii="Times New Roman" w:hAnsi="Times New Roman" w:cs="Times New Roman"/>
                <w:sz w:val="18"/>
                <w:szCs w:val="18"/>
                <w:highlight w:val="none"/>
                <w:lang w:val="en-US" w:eastAsia="zh-CN"/>
              </w:rPr>
              <w:t>1</w:t>
            </w:r>
            <w:r>
              <w:rPr>
                <w:rFonts w:hint="default" w:ascii="Times New Roman" w:hAnsi="Times New Roman" w:cs="Times New Roman"/>
                <w:sz w:val="18"/>
                <w:szCs w:val="18"/>
                <w:highlight w:val="none"/>
                <w:lang w:eastAsia="zh-CN"/>
              </w:rPr>
              <w:t>＜M≤</w:t>
            </w:r>
            <w:r>
              <w:rPr>
                <w:rFonts w:hint="default" w:ascii="Times New Roman" w:hAnsi="Times New Roman" w:cs="Times New Roman"/>
                <w:sz w:val="18"/>
                <w:szCs w:val="18"/>
                <w:highlight w:val="none"/>
                <w:lang w:val="en-US" w:eastAsia="zh-CN"/>
              </w:rPr>
              <w:t>3</w:t>
            </w:r>
          </w:p>
        </w:tc>
      </w:tr>
      <w:tr w14:paraId="771F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45" w:type="pct"/>
            <w:vMerge w:val="continue"/>
            <w:noWrap w:val="0"/>
            <w:vAlign w:val="center"/>
          </w:tcPr>
          <w:p w14:paraId="7479B562">
            <w:pPr>
              <w:keepNext w:val="0"/>
              <w:keepLines w:val="0"/>
              <w:pageBreakBefore w:val="0"/>
              <w:widowControl w:val="0"/>
              <w:kinsoku/>
              <w:wordWrap/>
              <w:overflowPunct/>
              <w:topLinePunct w:val="0"/>
              <w:bidi w:val="0"/>
              <w:adjustRightInd w:val="0"/>
              <w:snapToGrid/>
              <w:spacing w:before="156" w:after="156" w:line="240" w:lineRule="auto"/>
              <w:jc w:val="center"/>
              <w:textAlignment w:val="baseline"/>
              <w:rPr>
                <w:rFonts w:hint="default" w:ascii="Times New Roman" w:hAnsi="Times New Roman" w:cs="Times New Roman"/>
                <w:sz w:val="18"/>
                <w:szCs w:val="18"/>
                <w:highlight w:val="none"/>
              </w:rPr>
            </w:pPr>
          </w:p>
        </w:tc>
        <w:tc>
          <w:tcPr>
            <w:tcW w:w="589" w:type="pct"/>
            <w:vMerge w:val="continue"/>
            <w:noWrap w:val="0"/>
            <w:vAlign w:val="center"/>
          </w:tcPr>
          <w:p w14:paraId="0EFAE6AE">
            <w:pPr>
              <w:keepNext w:val="0"/>
              <w:keepLines w:val="0"/>
              <w:pageBreakBefore w:val="0"/>
              <w:widowControl w:val="0"/>
              <w:kinsoku/>
              <w:wordWrap/>
              <w:overflowPunct/>
              <w:topLinePunct w:val="0"/>
              <w:bidi w:val="0"/>
              <w:adjustRightInd w:val="0"/>
              <w:snapToGrid/>
              <w:spacing w:line="240" w:lineRule="auto"/>
              <w:jc w:val="center"/>
              <w:textAlignment w:val="baseline"/>
              <w:rPr>
                <w:rFonts w:hint="default" w:ascii="Times New Roman" w:hAnsi="Times New Roman" w:cs="Times New Roman"/>
                <w:sz w:val="18"/>
                <w:szCs w:val="18"/>
                <w:highlight w:val="none"/>
                <w:lang w:eastAsia="zh-CN"/>
              </w:rPr>
            </w:pPr>
          </w:p>
        </w:tc>
        <w:tc>
          <w:tcPr>
            <w:tcW w:w="859" w:type="pct"/>
            <w:vMerge w:val="continue"/>
            <w:noWrap w:val="0"/>
            <w:vAlign w:val="center"/>
          </w:tcPr>
          <w:p w14:paraId="6BD1BD7D">
            <w:pPr>
              <w:keepNext w:val="0"/>
              <w:keepLines w:val="0"/>
              <w:pageBreakBefore w:val="0"/>
              <w:widowControl w:val="0"/>
              <w:kinsoku/>
              <w:wordWrap/>
              <w:overflowPunct/>
              <w:topLinePunct w:val="0"/>
              <w:bidi w:val="0"/>
              <w:snapToGrid/>
              <w:spacing w:line="240" w:lineRule="auto"/>
              <w:rPr>
                <w:rFonts w:hint="default" w:ascii="Times New Roman" w:hAnsi="Times New Roman" w:cs="Times New Roman"/>
                <w:sz w:val="18"/>
                <w:szCs w:val="18"/>
                <w:highlight w:val="none"/>
                <w:lang w:eastAsia="zh-CN"/>
              </w:rPr>
            </w:pPr>
          </w:p>
        </w:tc>
        <w:tc>
          <w:tcPr>
            <w:tcW w:w="420" w:type="pct"/>
            <w:vMerge w:val="continue"/>
            <w:noWrap w:val="0"/>
            <w:vAlign w:val="center"/>
          </w:tcPr>
          <w:p w14:paraId="2E59C847">
            <w:pPr>
              <w:keepNext w:val="0"/>
              <w:keepLines w:val="0"/>
              <w:pageBreakBefore w:val="0"/>
              <w:widowControl w:val="0"/>
              <w:kinsoku/>
              <w:wordWrap/>
              <w:overflowPunct/>
              <w:topLinePunct w:val="0"/>
              <w:bidi w:val="0"/>
              <w:snapToGrid/>
              <w:spacing w:line="240" w:lineRule="auto"/>
              <w:rPr>
                <w:rFonts w:hint="default" w:ascii="Times New Roman" w:hAnsi="Times New Roman" w:cs="Times New Roman"/>
                <w:sz w:val="18"/>
                <w:szCs w:val="18"/>
                <w:highlight w:val="none"/>
                <w:lang w:val="en-US" w:eastAsia="zh-CN"/>
              </w:rPr>
            </w:pPr>
          </w:p>
        </w:tc>
        <w:tc>
          <w:tcPr>
            <w:tcW w:w="1947" w:type="pct"/>
            <w:vMerge w:val="continue"/>
            <w:noWrap w:val="0"/>
            <w:vAlign w:val="center"/>
          </w:tcPr>
          <w:p w14:paraId="15B08BC5">
            <w:pPr>
              <w:keepNext w:val="0"/>
              <w:keepLines w:val="0"/>
              <w:pageBreakBefore w:val="0"/>
              <w:widowControl w:val="0"/>
              <w:kinsoku/>
              <w:wordWrap/>
              <w:overflowPunct/>
              <w:topLinePunct w:val="0"/>
              <w:bidi w:val="0"/>
              <w:snapToGrid/>
              <w:spacing w:line="240" w:lineRule="auto"/>
              <w:rPr>
                <w:rFonts w:hint="default" w:ascii="Times New Roman" w:hAnsi="Times New Roman" w:eastAsia="宋体" w:cs="Times New Roman"/>
                <w:sz w:val="18"/>
                <w:szCs w:val="18"/>
                <w:highlight w:val="none"/>
                <w:lang w:eastAsia="zh-CN"/>
              </w:rPr>
            </w:pPr>
          </w:p>
        </w:tc>
        <w:tc>
          <w:tcPr>
            <w:tcW w:w="838" w:type="pct"/>
            <w:noWrap w:val="0"/>
            <w:vAlign w:val="center"/>
          </w:tcPr>
          <w:p w14:paraId="24803D37">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eastAsia="zh-CN"/>
              </w:rPr>
              <w:t>一般</w:t>
            </w:r>
            <w:r>
              <w:rPr>
                <w:rFonts w:hint="default" w:ascii="Times New Roman" w:hAnsi="Times New Roman" w:cs="Times New Roman"/>
                <w:sz w:val="18"/>
                <w:szCs w:val="18"/>
                <w:highlight w:val="none"/>
                <w:lang w:val="en-US" w:eastAsia="zh-CN"/>
              </w:rPr>
              <w:t>0</w:t>
            </w:r>
            <w:r>
              <w:rPr>
                <w:rFonts w:hint="default" w:ascii="Times New Roman" w:hAnsi="Times New Roman" w:cs="Times New Roman"/>
                <w:sz w:val="18"/>
                <w:szCs w:val="18"/>
                <w:highlight w:val="none"/>
                <w:lang w:eastAsia="zh-CN"/>
              </w:rPr>
              <w:t>≤M≤</w:t>
            </w:r>
            <w:r>
              <w:rPr>
                <w:rFonts w:hint="default" w:ascii="Times New Roman" w:hAnsi="Times New Roman" w:cs="Times New Roman"/>
                <w:sz w:val="18"/>
                <w:szCs w:val="18"/>
                <w:highlight w:val="none"/>
                <w:lang w:val="en-US" w:eastAsia="zh-CN"/>
              </w:rPr>
              <w:t>1</w:t>
            </w:r>
          </w:p>
        </w:tc>
      </w:tr>
      <w:tr w14:paraId="6F82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45" w:type="pct"/>
            <w:noWrap w:val="0"/>
            <w:vAlign w:val="center"/>
          </w:tcPr>
          <w:p w14:paraId="68E50329">
            <w:pPr>
              <w:keepNext w:val="0"/>
              <w:keepLines w:val="0"/>
              <w:pageBreakBefore w:val="0"/>
              <w:widowControl w:val="0"/>
              <w:kinsoku/>
              <w:wordWrap/>
              <w:overflowPunct/>
              <w:topLinePunct w:val="0"/>
              <w:bidi w:val="0"/>
              <w:adjustRightInd w:val="0"/>
              <w:snapToGrid/>
              <w:spacing w:before="156" w:after="156" w:line="240" w:lineRule="auto"/>
              <w:jc w:val="center"/>
              <w:textAlignment w:val="baseline"/>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2.2.</w:t>
            </w:r>
            <w:r>
              <w:rPr>
                <w:rFonts w:hint="default" w:ascii="Times New Roman" w:hAnsi="Times New Roman" w:cs="Times New Roman"/>
                <w:sz w:val="18"/>
                <w:szCs w:val="18"/>
                <w:highlight w:val="none"/>
                <w:lang w:eastAsia="zh-CN"/>
              </w:rPr>
              <w:t>4</w:t>
            </w:r>
            <w:r>
              <w:rPr>
                <w:rFonts w:hint="default" w:ascii="Times New Roman" w:hAnsi="Times New Roman" w:cs="Times New Roman"/>
                <w:sz w:val="18"/>
                <w:szCs w:val="18"/>
                <w:highlight w:val="none"/>
              </w:rPr>
              <w:t>（3）</w:t>
            </w:r>
          </w:p>
        </w:tc>
        <w:tc>
          <w:tcPr>
            <w:tcW w:w="589" w:type="pct"/>
            <w:noWrap w:val="0"/>
            <w:vAlign w:val="center"/>
          </w:tcPr>
          <w:p w14:paraId="364B13C5">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询比申请报价评分标准</w:t>
            </w:r>
          </w:p>
          <w:p w14:paraId="3BC1922A">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w:t>
            </w:r>
            <w:r>
              <w:rPr>
                <w:rFonts w:hint="default" w:ascii="Times New Roman" w:hAnsi="Times New Roman" w:cs="Times New Roman"/>
                <w:sz w:val="18"/>
                <w:szCs w:val="18"/>
                <w:highlight w:val="none"/>
                <w:lang w:val="en-US" w:eastAsia="zh-CN"/>
              </w:rPr>
              <w:t>40</w:t>
            </w:r>
            <w:r>
              <w:rPr>
                <w:rFonts w:hint="default" w:ascii="Times New Roman" w:hAnsi="Times New Roman" w:cs="Times New Roman"/>
                <w:sz w:val="18"/>
                <w:szCs w:val="18"/>
                <w:highlight w:val="none"/>
                <w:lang w:eastAsia="zh-CN"/>
              </w:rPr>
              <w:t>分）</w:t>
            </w:r>
          </w:p>
        </w:tc>
        <w:tc>
          <w:tcPr>
            <w:tcW w:w="859" w:type="pct"/>
            <w:noWrap w:val="0"/>
            <w:vAlign w:val="center"/>
          </w:tcPr>
          <w:p w14:paraId="1B4B251F">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询比申请报价</w:t>
            </w:r>
          </w:p>
        </w:tc>
        <w:tc>
          <w:tcPr>
            <w:tcW w:w="420" w:type="pct"/>
            <w:noWrap w:val="0"/>
            <w:vAlign w:val="center"/>
          </w:tcPr>
          <w:p w14:paraId="5B08D611">
            <w:pPr>
              <w:keepNext w:val="0"/>
              <w:keepLines w:val="0"/>
              <w:pageBreakBefore w:val="0"/>
              <w:widowControl w:val="0"/>
              <w:kinsoku/>
              <w:wordWrap/>
              <w:overflowPunct/>
              <w:topLinePunct w:val="0"/>
              <w:bidi w:val="0"/>
              <w:snapToGrid/>
              <w:spacing w:line="240" w:lineRule="auto"/>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40</w:t>
            </w:r>
            <w:r>
              <w:rPr>
                <w:rFonts w:hint="default" w:ascii="Times New Roman" w:hAnsi="Times New Roman" w:cs="Times New Roman"/>
                <w:sz w:val="18"/>
                <w:szCs w:val="18"/>
                <w:highlight w:val="none"/>
              </w:rPr>
              <w:t>分</w:t>
            </w:r>
          </w:p>
        </w:tc>
        <w:tc>
          <w:tcPr>
            <w:tcW w:w="2785" w:type="pct"/>
            <w:gridSpan w:val="2"/>
            <w:noWrap w:val="0"/>
            <w:vAlign w:val="center"/>
          </w:tcPr>
          <w:p w14:paraId="7863D305">
            <w:pPr>
              <w:keepNext w:val="0"/>
              <w:keepLines w:val="0"/>
              <w:pageBreakBefore w:val="0"/>
              <w:widowControl w:val="0"/>
              <w:kinsoku/>
              <w:wordWrap/>
              <w:overflowPunct/>
              <w:topLinePunct w:val="0"/>
              <w:bidi w:val="0"/>
              <w:snapToGrid/>
              <w:spacing w:line="240" w:lineRule="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lang w:eastAsia="zh-CN"/>
              </w:rPr>
              <w:t>1）当-5%≤偏差率δ≤0%时，价格得分为满分</w:t>
            </w:r>
            <w:r>
              <w:rPr>
                <w:rFonts w:hint="default" w:ascii="Times New Roman" w:hAnsi="Times New Roman" w:eastAsia="宋体" w:cs="Times New Roman"/>
                <w:sz w:val="18"/>
                <w:szCs w:val="18"/>
                <w:highlight w:val="none"/>
                <w:lang w:val="en-US" w:eastAsia="zh-CN"/>
              </w:rPr>
              <w:t>4</w:t>
            </w:r>
            <w:r>
              <w:rPr>
                <w:rFonts w:hint="default" w:ascii="Times New Roman" w:hAnsi="Times New Roman" w:eastAsia="宋体" w:cs="Times New Roman"/>
                <w:sz w:val="18"/>
                <w:szCs w:val="18"/>
                <w:highlight w:val="none"/>
                <w:lang w:eastAsia="zh-CN"/>
              </w:rPr>
              <w:t>0分；</w:t>
            </w:r>
          </w:p>
          <w:p w14:paraId="23838050">
            <w:pPr>
              <w:keepNext w:val="0"/>
              <w:keepLines w:val="0"/>
              <w:pageBreakBefore w:val="0"/>
              <w:widowControl w:val="0"/>
              <w:kinsoku/>
              <w:wordWrap/>
              <w:overflowPunct/>
              <w:topLinePunct w:val="0"/>
              <w:bidi w:val="0"/>
              <w:snapToGrid/>
              <w:spacing w:line="240" w:lineRule="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lang w:eastAsia="zh-CN"/>
              </w:rPr>
              <w:t>2）当偏差率δ&gt;0%时，按照下述公式打分：</w:t>
            </w:r>
          </w:p>
          <w:p w14:paraId="5A751A36">
            <w:pPr>
              <w:keepNext w:val="0"/>
              <w:keepLines w:val="0"/>
              <w:pageBreakBefore w:val="0"/>
              <w:widowControl w:val="0"/>
              <w:kinsoku/>
              <w:wordWrap/>
              <w:overflowPunct/>
              <w:topLinePunct w:val="0"/>
              <w:bidi w:val="0"/>
              <w:snapToGrid/>
              <w:spacing w:line="240" w:lineRule="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lang w:eastAsia="zh-CN"/>
              </w:rPr>
              <w:t>m＝</w:t>
            </w:r>
            <w:r>
              <w:rPr>
                <w:rFonts w:hint="default" w:ascii="Times New Roman" w:hAnsi="Times New Roman" w:eastAsia="宋体" w:cs="Times New Roman"/>
                <w:sz w:val="18"/>
                <w:szCs w:val="18"/>
                <w:highlight w:val="none"/>
                <w:lang w:val="en-US" w:eastAsia="zh-CN"/>
              </w:rPr>
              <w:t>4</w:t>
            </w:r>
            <w:r>
              <w:rPr>
                <w:rFonts w:hint="default" w:ascii="Times New Roman" w:hAnsi="Times New Roman" w:eastAsia="宋体" w:cs="Times New Roman"/>
                <w:sz w:val="18"/>
                <w:szCs w:val="18"/>
                <w:highlight w:val="none"/>
                <w:lang w:eastAsia="zh-CN"/>
              </w:rPr>
              <w:t>0-1×100×δ，此项最低得分为0分；</w:t>
            </w:r>
          </w:p>
          <w:p w14:paraId="61B03F99">
            <w:pPr>
              <w:keepNext w:val="0"/>
              <w:keepLines w:val="0"/>
              <w:pageBreakBefore w:val="0"/>
              <w:widowControl w:val="0"/>
              <w:kinsoku/>
              <w:wordWrap/>
              <w:overflowPunct/>
              <w:topLinePunct w:val="0"/>
              <w:bidi w:val="0"/>
              <w:snapToGrid/>
              <w:spacing w:line="240" w:lineRule="auto"/>
              <w:rPr>
                <w:rFonts w:hint="default" w:ascii="Times New Roman" w:hAnsi="Times New Roman" w:eastAsia="宋体" w:cs="Times New Roman"/>
                <w:sz w:val="18"/>
                <w:szCs w:val="18"/>
                <w:highlight w:val="none"/>
                <w:lang w:eastAsia="zh-CN"/>
              </w:rPr>
            </w:pPr>
            <w:r>
              <w:rPr>
                <w:rFonts w:hint="default" w:ascii="Times New Roman" w:hAnsi="Times New Roman" w:eastAsia="宋体" w:cs="Times New Roman"/>
                <w:sz w:val="18"/>
                <w:szCs w:val="18"/>
                <w:highlight w:val="none"/>
                <w:lang w:eastAsia="zh-CN"/>
              </w:rPr>
              <w:t>3）当偏差率δ&lt;-5%时，按照下述公式打分：</w:t>
            </w:r>
          </w:p>
          <w:p w14:paraId="0141D6A2">
            <w:pPr>
              <w:keepNext w:val="0"/>
              <w:keepLines w:val="0"/>
              <w:pageBreakBefore w:val="0"/>
              <w:widowControl w:val="0"/>
              <w:kinsoku/>
              <w:wordWrap/>
              <w:overflowPunct/>
              <w:topLinePunct w:val="0"/>
              <w:bidi w:val="0"/>
              <w:snapToGrid/>
              <w:spacing w:line="240" w:lineRule="auto"/>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eastAsia="zh-CN"/>
              </w:rPr>
              <w:t>m＝</w:t>
            </w:r>
            <w:r>
              <w:rPr>
                <w:rFonts w:hint="default" w:ascii="Times New Roman" w:hAnsi="Times New Roman" w:eastAsia="宋体" w:cs="Times New Roman"/>
                <w:sz w:val="18"/>
                <w:szCs w:val="18"/>
                <w:highlight w:val="none"/>
                <w:lang w:val="en-US" w:eastAsia="zh-CN"/>
              </w:rPr>
              <w:t>4</w:t>
            </w:r>
            <w:r>
              <w:rPr>
                <w:rFonts w:hint="default" w:ascii="Times New Roman" w:hAnsi="Times New Roman" w:eastAsia="宋体" w:cs="Times New Roman"/>
                <w:sz w:val="18"/>
                <w:szCs w:val="18"/>
                <w:highlight w:val="none"/>
                <w:lang w:eastAsia="zh-CN"/>
              </w:rPr>
              <w:t>0+0.5×100×（5%+δ），此项最低得分为0分。</w:t>
            </w:r>
          </w:p>
        </w:tc>
      </w:tr>
      <w:tr w14:paraId="0A73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5000" w:type="pct"/>
            <w:gridSpan w:val="6"/>
            <w:noWrap w:val="0"/>
            <w:vAlign w:val="center"/>
          </w:tcPr>
          <w:p w14:paraId="74FD77D6">
            <w:pPr>
              <w:keepNext w:val="0"/>
              <w:keepLines w:val="0"/>
              <w:pageBreakBefore w:val="0"/>
              <w:widowControl w:val="0"/>
              <w:kinsoku/>
              <w:wordWrap/>
              <w:overflowPunct/>
              <w:topLinePunct w:val="0"/>
              <w:bidi w:val="0"/>
              <w:adjustRightInd w:val="0"/>
              <w:snapToGrid/>
              <w:spacing w:line="240" w:lineRule="auto"/>
              <w:textAlignment w:val="baseline"/>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val="en-US" w:eastAsia="zh-CN"/>
              </w:rPr>
              <w:t>1.</w:t>
            </w:r>
            <w:r>
              <w:rPr>
                <w:rFonts w:hint="default" w:ascii="Times New Roman" w:hAnsi="Times New Roman" w:cs="Times New Roman"/>
                <w:sz w:val="18"/>
                <w:szCs w:val="18"/>
                <w:highlight w:val="none"/>
                <w:lang w:eastAsia="zh-CN"/>
              </w:rPr>
              <w:t>各档次方案的标准设定如下：</w:t>
            </w:r>
          </w:p>
          <w:p w14:paraId="266DE626">
            <w:pPr>
              <w:keepNext w:val="0"/>
              <w:keepLines w:val="0"/>
              <w:pageBreakBefore w:val="0"/>
              <w:widowControl w:val="0"/>
              <w:kinsoku/>
              <w:wordWrap/>
              <w:overflowPunct/>
              <w:topLinePunct w:val="0"/>
              <w:bidi w:val="0"/>
              <w:adjustRightInd w:val="0"/>
              <w:snapToGrid/>
              <w:spacing w:line="240" w:lineRule="auto"/>
              <w:textAlignment w:val="baseline"/>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优：方案科学、合理，考虑周全，针对性强，完全能够满足</w:t>
            </w:r>
            <w:r>
              <w:rPr>
                <w:rFonts w:hint="eastAsia" w:cs="Times New Roman"/>
                <w:sz w:val="18"/>
                <w:szCs w:val="18"/>
                <w:highlight w:val="none"/>
                <w:lang w:val="en-US" w:eastAsia="zh-CN"/>
              </w:rPr>
              <w:t>甲方</w:t>
            </w:r>
            <w:r>
              <w:rPr>
                <w:rFonts w:hint="default" w:ascii="Times New Roman" w:hAnsi="Times New Roman" w:cs="Times New Roman"/>
                <w:sz w:val="18"/>
                <w:szCs w:val="18"/>
                <w:highlight w:val="none"/>
                <w:lang w:eastAsia="zh-CN"/>
              </w:rPr>
              <w:t>要求。</w:t>
            </w:r>
          </w:p>
          <w:p w14:paraId="3CF38048">
            <w:pPr>
              <w:keepNext w:val="0"/>
              <w:keepLines w:val="0"/>
              <w:pageBreakBefore w:val="0"/>
              <w:widowControl w:val="0"/>
              <w:kinsoku/>
              <w:wordWrap/>
              <w:overflowPunct/>
              <w:topLinePunct w:val="0"/>
              <w:bidi w:val="0"/>
              <w:adjustRightInd w:val="0"/>
              <w:snapToGrid/>
              <w:spacing w:line="240" w:lineRule="auto"/>
              <w:textAlignment w:val="baseline"/>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良：方案基本科学、合理，考虑比较周全，针对性较强，基本满足</w:t>
            </w:r>
            <w:r>
              <w:rPr>
                <w:rFonts w:hint="eastAsia" w:cs="Times New Roman"/>
                <w:sz w:val="18"/>
                <w:szCs w:val="18"/>
                <w:highlight w:val="none"/>
                <w:lang w:val="en-US" w:eastAsia="zh-CN"/>
              </w:rPr>
              <w:t>甲方</w:t>
            </w:r>
            <w:r>
              <w:rPr>
                <w:rFonts w:hint="default" w:ascii="Times New Roman" w:hAnsi="Times New Roman" w:cs="Times New Roman"/>
                <w:sz w:val="18"/>
                <w:szCs w:val="18"/>
                <w:highlight w:val="none"/>
                <w:lang w:eastAsia="zh-CN"/>
              </w:rPr>
              <w:t>要求，但有个别细节需要进一步完善或提高。</w:t>
            </w:r>
          </w:p>
          <w:p w14:paraId="7040E3CC">
            <w:pPr>
              <w:keepNext w:val="0"/>
              <w:keepLines w:val="0"/>
              <w:pageBreakBefore w:val="0"/>
              <w:widowControl w:val="0"/>
              <w:kinsoku/>
              <w:wordWrap/>
              <w:overflowPunct/>
              <w:topLinePunct w:val="0"/>
              <w:bidi w:val="0"/>
              <w:snapToGrid/>
              <w:spacing w:line="240" w:lineRule="auto"/>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一般：方案在科学、合理性方面一般，考虑不够周全，针对性不强，虽然能够基本满足</w:t>
            </w:r>
            <w:r>
              <w:rPr>
                <w:rFonts w:hint="eastAsia" w:cs="Times New Roman"/>
                <w:sz w:val="18"/>
                <w:szCs w:val="18"/>
                <w:highlight w:val="none"/>
                <w:lang w:val="en-US" w:eastAsia="zh-CN"/>
              </w:rPr>
              <w:t>甲方</w:t>
            </w:r>
            <w:r>
              <w:rPr>
                <w:rFonts w:hint="default" w:ascii="Times New Roman" w:hAnsi="Times New Roman" w:cs="Times New Roman"/>
                <w:sz w:val="18"/>
                <w:szCs w:val="18"/>
                <w:highlight w:val="none"/>
                <w:lang w:eastAsia="zh-CN"/>
              </w:rPr>
              <w:t>要求，但有很多方面需要进一步完善甚至重新考虑。</w:t>
            </w:r>
          </w:p>
          <w:p w14:paraId="0A7C96B8">
            <w:pPr>
              <w:keepNext w:val="0"/>
              <w:keepLines w:val="0"/>
              <w:pageBreakBefore w:val="0"/>
              <w:widowControl w:val="0"/>
              <w:kinsoku/>
              <w:wordWrap/>
              <w:overflowPunct/>
              <w:topLinePunct w:val="0"/>
              <w:bidi w:val="0"/>
              <w:snapToGrid/>
              <w:spacing w:line="240" w:lineRule="auto"/>
              <w:rPr>
                <w:rFonts w:hint="default" w:ascii="Times New Roman" w:hAnsi="Times New Roman" w:cs="Times New Roman"/>
                <w:sz w:val="18"/>
                <w:szCs w:val="18"/>
                <w:highlight w:val="none"/>
                <w:lang w:eastAsia="zh-CN"/>
              </w:rPr>
            </w:pPr>
            <w:r>
              <w:rPr>
                <w:rFonts w:hint="default" w:ascii="Times New Roman" w:hAnsi="Times New Roman" w:cs="Times New Roman"/>
                <w:sz w:val="18"/>
                <w:szCs w:val="18"/>
                <w:highlight w:val="none"/>
                <w:lang w:eastAsia="zh-CN"/>
              </w:rPr>
              <w:t>2.以上各分项如有缺漏项，相应分项得0分。</w:t>
            </w:r>
          </w:p>
        </w:tc>
      </w:tr>
    </w:tbl>
    <w:p w14:paraId="5F5222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C0736429-D442-4954-A38C-B82DA9992F2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YTZlNjViYjNlMWU1YzMwZjE5MjE1ZmJhNWIzZDYifQ=="/>
  </w:docVars>
  <w:rsids>
    <w:rsidRoot w:val="00000000"/>
    <w:rsid w:val="00573A96"/>
    <w:rsid w:val="071872D8"/>
    <w:rsid w:val="105F7487"/>
    <w:rsid w:val="109F6B45"/>
    <w:rsid w:val="132C67E2"/>
    <w:rsid w:val="13E73651"/>
    <w:rsid w:val="1469105B"/>
    <w:rsid w:val="16366197"/>
    <w:rsid w:val="19483AE4"/>
    <w:rsid w:val="19C27FEB"/>
    <w:rsid w:val="1F441504"/>
    <w:rsid w:val="22BE000B"/>
    <w:rsid w:val="24C519E0"/>
    <w:rsid w:val="35647C06"/>
    <w:rsid w:val="35B31BF5"/>
    <w:rsid w:val="3CA855DC"/>
    <w:rsid w:val="46B0721C"/>
    <w:rsid w:val="4E32106F"/>
    <w:rsid w:val="525B0366"/>
    <w:rsid w:val="52FC3AD1"/>
    <w:rsid w:val="557959CA"/>
    <w:rsid w:val="558C3F18"/>
    <w:rsid w:val="5765441B"/>
    <w:rsid w:val="57D74875"/>
    <w:rsid w:val="5CED1EA0"/>
    <w:rsid w:val="5FD635C1"/>
    <w:rsid w:val="61E170BE"/>
    <w:rsid w:val="63907827"/>
    <w:rsid w:val="67A71109"/>
    <w:rsid w:val="6B7A03F7"/>
    <w:rsid w:val="6D45772E"/>
    <w:rsid w:val="6FED78F9"/>
    <w:rsid w:val="72D03A97"/>
    <w:rsid w:val="760364E8"/>
    <w:rsid w:val="79FC3070"/>
    <w:rsid w:val="7EA71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Times New Roman" w:hAnsi="Times New Roman" w:eastAsia="宋体" w:cs="Times New Roman"/>
      <w:sz w:val="22"/>
      <w:szCs w:val="22"/>
      <w:lang w:val="en-US" w:eastAsia="en-US" w:bidi="ar-SA"/>
    </w:rPr>
  </w:style>
  <w:style w:type="paragraph" w:styleId="2">
    <w:name w:val="heading 2"/>
    <w:basedOn w:val="1"/>
    <w:next w:val="1"/>
    <w:unhideWhenUsed/>
    <w:qFormat/>
    <w:uiPriority w:val="0"/>
    <w:pPr>
      <w:keepNext/>
      <w:keepLines/>
      <w:spacing w:line="360" w:lineRule="auto"/>
      <w:ind w:firstLine="0" w:firstLineChars="0"/>
      <w:outlineLvl w:val="1"/>
    </w:pPr>
    <w:rPr>
      <w:rFonts w:ascii="Cambria" w:hAnsi="Cambria" w:eastAsia="宋体"/>
      <w:b/>
      <w:bCs/>
      <w:sz w:val="28"/>
      <w:szCs w:val="32"/>
      <w:lang w:eastAsia="en-US"/>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
    <w:name w:val="Table Paragraph"/>
    <w:basedOn w:val="1"/>
    <w:autoRedefine/>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1586</Words>
  <Characters>1721</Characters>
  <Lines>0</Lines>
  <Paragraphs>0</Paragraphs>
  <TotalTime>9</TotalTime>
  <ScaleCrop>false</ScaleCrop>
  <LinksUpToDate>false</LinksUpToDate>
  <CharactersWithSpaces>1721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2024-04-07T02:08:00Z</dcterms:created>
  <dc:creator>admin</dc:creator>
  <cp:lastModifiedBy>沙</cp:lastModifiedBy>
  <dcterms:modified xsi:type="dcterms:W3CDTF">2024-08-09T08:36:48Z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9E45357C7C5B423993EAD9BF59789FFE_13</vt:lpwstr>
  </property>
</Properties>
</file>