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spacing w:val="-1"/>
          <w:sz w:val="32"/>
          <w:szCs w:val="32"/>
          <w:lang w:val="en-US" w:eastAsia="zh-CN"/>
        </w:rPr>
      </w:pPr>
      <w:r>
        <w:rPr>
          <w:rFonts w:hint="eastAsia" w:ascii="仿宋_GB2312" w:hAnsi="仿宋_GB2312" w:eastAsia="仿宋_GB2312" w:cs="仿宋_GB2312"/>
          <w:spacing w:val="-1"/>
          <w:sz w:val="32"/>
          <w:szCs w:val="32"/>
          <w:lang w:val="en-US" w:eastAsia="zh-CN"/>
        </w:rPr>
        <w:t>洛阳轨道物业管理有限公司在管物业的绿化修剪养护项目的公开询价公告</w:t>
      </w:r>
    </w:p>
    <w:p>
      <w:pPr>
        <w:pStyle w:val="5"/>
        <w:numPr>
          <w:ilvl w:val="0"/>
          <w:numId w:val="0"/>
        </w:numPr>
        <w:ind w:firstLine="560" w:firstLineChars="200"/>
        <w:rPr>
          <w:rFonts w:hint="default"/>
          <w:lang w:val="en-US" w:eastAsia="zh-CN"/>
        </w:rPr>
      </w:pPr>
      <w:r>
        <w:rPr>
          <w:rFonts w:hint="eastAsia" w:ascii="仿宋_GB2312" w:hAnsi="仿宋_GB2312" w:eastAsia="仿宋_GB2312" w:cs="仿宋_GB2312"/>
          <w:lang w:val="en-US" w:eastAsia="zh-CN"/>
        </w:rPr>
        <w:t>一、项目概况</w:t>
      </w:r>
    </w:p>
    <w:p>
      <w:pPr>
        <w:pStyle w:val="5"/>
        <w:numPr>
          <w:ilvl w:val="0"/>
          <w:numId w:val="0"/>
        </w:numPr>
        <w:ind w:firstLine="556" w:firstLineChars="200"/>
        <w:rPr>
          <w:rFonts w:hint="eastAsia" w:ascii="仿宋_GB2312" w:hAnsi="仿宋_GB2312" w:eastAsia="仿宋_GB2312" w:cs="仿宋_GB2312"/>
          <w:spacing w:val="-1"/>
          <w:sz w:val="28"/>
          <w:szCs w:val="28"/>
          <w:lang w:val="en-US" w:eastAsia="zh-CN"/>
        </w:rPr>
      </w:pPr>
      <w:r>
        <w:rPr>
          <w:rFonts w:hint="eastAsia" w:ascii="仿宋_GB2312" w:hAnsi="仿宋_GB2312" w:eastAsia="仿宋_GB2312" w:cs="仿宋_GB2312"/>
          <w:spacing w:val="-1"/>
          <w:sz w:val="28"/>
          <w:szCs w:val="28"/>
        </w:rPr>
        <w:t>本项目为</w:t>
      </w:r>
      <w:r>
        <w:rPr>
          <w:rFonts w:hint="eastAsia" w:ascii="仿宋_GB2312" w:hAnsi="仿宋_GB2312" w:eastAsia="仿宋_GB2312" w:cs="仿宋_GB2312"/>
          <w:spacing w:val="-1"/>
          <w:sz w:val="28"/>
          <w:szCs w:val="28"/>
          <w:lang w:val="en-US" w:eastAsia="zh-CN"/>
        </w:rPr>
        <w:t>洛阳轨道物业管理有限公司在管物业项目的绿化修剪养护</w:t>
      </w:r>
      <w:r>
        <w:rPr>
          <w:rFonts w:hint="eastAsia" w:ascii="仿宋_GB2312" w:hAnsi="仿宋_GB2312" w:eastAsia="仿宋_GB2312" w:cs="仿宋_GB2312"/>
          <w:spacing w:val="-1"/>
          <w:sz w:val="28"/>
          <w:szCs w:val="28"/>
        </w:rPr>
        <w:t>项目，主要</w:t>
      </w:r>
      <w:r>
        <w:rPr>
          <w:rFonts w:hint="eastAsia" w:ascii="仿宋_GB2312" w:hAnsi="仿宋_GB2312" w:eastAsia="仿宋_GB2312" w:cs="仿宋_GB2312"/>
          <w:spacing w:val="-1"/>
          <w:sz w:val="28"/>
          <w:szCs w:val="28"/>
          <w:lang w:val="en-US" w:eastAsia="zh-CN"/>
        </w:rPr>
        <w:t>项目</w:t>
      </w:r>
      <w:r>
        <w:rPr>
          <w:rFonts w:hint="eastAsia" w:ascii="仿宋_GB2312" w:hAnsi="仿宋_GB2312" w:eastAsia="仿宋_GB2312" w:cs="仿宋_GB2312"/>
          <w:spacing w:val="-1"/>
          <w:sz w:val="28"/>
          <w:szCs w:val="28"/>
        </w:rPr>
        <w:t>包含</w:t>
      </w:r>
      <w:r>
        <w:rPr>
          <w:rFonts w:hint="eastAsia" w:ascii="仿宋_GB2312" w:hAnsi="仿宋_GB2312" w:eastAsia="仿宋_GB2312" w:cs="仿宋_GB2312"/>
          <w:spacing w:val="-1"/>
          <w:sz w:val="28"/>
          <w:szCs w:val="28"/>
          <w:lang w:val="en-US" w:eastAsia="zh-CN"/>
        </w:rPr>
        <w:t>控制中心绿化修剪养护面积约</w:t>
      </w:r>
      <w:r>
        <w:rPr>
          <w:rFonts w:hint="eastAsia" w:ascii="Times New Roman" w:hAnsi="Times New Roman" w:eastAsia="仿宋_GB2312" w:cs="Times New Roman"/>
          <w:spacing w:val="-1"/>
          <w:sz w:val="28"/>
          <w:szCs w:val="28"/>
          <w:lang w:val="en-US" w:eastAsia="zh-CN"/>
        </w:rPr>
        <w:t>4000m²</w:t>
      </w:r>
      <w:r>
        <w:rPr>
          <w:rFonts w:hint="eastAsia" w:ascii="仿宋_GB2312" w:hAnsi="仿宋_GB2312" w:eastAsia="仿宋_GB2312" w:cs="仿宋_GB2312"/>
          <w:spacing w:val="-1"/>
          <w:sz w:val="28"/>
          <w:szCs w:val="28"/>
          <w:lang w:val="en-US" w:eastAsia="zh-CN"/>
        </w:rPr>
        <w:t>，刘富村车辆段绿化修剪养护面积约</w:t>
      </w:r>
      <w:r>
        <w:rPr>
          <w:rFonts w:hint="eastAsia" w:ascii="Times New Roman" w:hAnsi="Times New Roman" w:eastAsia="仿宋_GB2312" w:cs="Times New Roman"/>
          <w:spacing w:val="-1"/>
          <w:sz w:val="28"/>
          <w:szCs w:val="28"/>
          <w:lang w:val="en-US" w:eastAsia="zh-CN"/>
        </w:rPr>
        <w:t>40000m²</w:t>
      </w:r>
      <w:r>
        <w:rPr>
          <w:rFonts w:hint="eastAsia" w:ascii="仿宋_GB2312" w:hAnsi="仿宋_GB2312" w:eastAsia="仿宋_GB2312" w:cs="仿宋_GB2312"/>
          <w:spacing w:val="-1"/>
          <w:sz w:val="28"/>
          <w:szCs w:val="28"/>
          <w:lang w:val="en-US" w:eastAsia="zh-CN"/>
        </w:rPr>
        <w:t>；红山车辆段绿化修剪养护面积约</w:t>
      </w:r>
      <w:r>
        <w:rPr>
          <w:rFonts w:hint="eastAsia" w:ascii="Times New Roman" w:hAnsi="Times New Roman" w:eastAsia="仿宋_GB2312" w:cs="Times New Roman"/>
          <w:spacing w:val="-1"/>
          <w:sz w:val="28"/>
          <w:szCs w:val="28"/>
          <w:lang w:val="en-US" w:eastAsia="zh-CN"/>
        </w:rPr>
        <w:t>37000m²</w:t>
      </w:r>
      <w:r>
        <w:rPr>
          <w:rFonts w:hint="eastAsia" w:ascii="仿宋_GB2312" w:hAnsi="仿宋_GB2312" w:eastAsia="仿宋_GB2312" w:cs="仿宋_GB2312"/>
          <w:spacing w:val="-1"/>
          <w:sz w:val="28"/>
          <w:szCs w:val="28"/>
          <w:lang w:val="en-US" w:eastAsia="zh-CN"/>
        </w:rPr>
        <w:t>，瀍东停车场绿化修剪养护面积约</w:t>
      </w:r>
      <w:r>
        <w:rPr>
          <w:rFonts w:hint="default" w:ascii="Times New Roman" w:hAnsi="Times New Roman" w:eastAsia="仿宋_GB2312" w:cs="Times New Roman"/>
          <w:spacing w:val="-1"/>
          <w:sz w:val="28"/>
          <w:szCs w:val="28"/>
          <w:lang w:val="en-US" w:eastAsia="zh-CN"/>
        </w:rPr>
        <w:t>4900m²</w:t>
      </w:r>
      <w:r>
        <w:rPr>
          <w:rFonts w:hint="eastAsia" w:ascii="仿宋_GB2312" w:hAnsi="仿宋_GB2312" w:eastAsia="仿宋_GB2312" w:cs="仿宋_GB2312"/>
          <w:spacing w:val="-1"/>
          <w:sz w:val="28"/>
          <w:szCs w:val="28"/>
          <w:lang w:val="en-US" w:eastAsia="zh-CN"/>
        </w:rPr>
        <w:t>。</w:t>
      </w:r>
    </w:p>
    <w:p>
      <w:pPr>
        <w:pStyle w:val="5"/>
        <w:numPr>
          <w:ilvl w:val="0"/>
          <w:numId w:val="1"/>
        </w:numPr>
        <w:ind w:firstLine="56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询价内容及服务质量要求</w:t>
      </w: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详见附件1《绿化养护需求书》</w:t>
      </w:r>
    </w:p>
    <w:p>
      <w:pPr>
        <w:pStyle w:val="6"/>
        <w:keepNext w:val="0"/>
        <w:keepLines w:val="0"/>
        <w:pageBreakBefore w:val="0"/>
        <w:widowControl w:val="0"/>
        <w:numPr>
          <w:ilvl w:val="0"/>
          <w:numId w:val="1"/>
        </w:numPr>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报价要求及报价单格式</w:t>
      </w: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1、严格按照提供的报价表格式填写；</w:t>
      </w: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2、报价表须同时提供加盖公章的扫描件及可编辑的EXCEL版本。</w:t>
      </w: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3、报价表格式详见附件2《绿化养护项目报价单》</w:t>
      </w: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4、承包经费单价包括绿化日常养护、公共基础设施维护、用具设备/机械购置、卫生保洁、垃圾清运、工作人员服装、工作人员意外保险、福利、利润、税金等所有费用。</w:t>
      </w: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四、报价时需提供以下资料</w:t>
      </w: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1、营业执照</w:t>
      </w: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2、资质证书</w:t>
      </w: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3、报价单（加盖公章）</w:t>
      </w: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五、特别说明</w:t>
      </w: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pacing w:val="-1"/>
          <w:sz w:val="28"/>
          <w:szCs w:val="28"/>
          <w:lang w:val="en-US" w:eastAsia="zh-CN"/>
        </w:rPr>
      </w:pPr>
      <w:r>
        <w:rPr>
          <w:rFonts w:hint="eastAsia" w:ascii="仿宋_GB2312" w:hAnsi="仿宋_GB2312" w:eastAsia="仿宋_GB2312" w:cs="仿宋_GB2312"/>
          <w:sz w:val="28"/>
          <w:szCs w:val="28"/>
          <w:lang w:val="en-US" w:eastAsia="zh-CN"/>
        </w:rPr>
        <w:t>此询价公告仅为洛阳轨道物业管理有限公司为</w:t>
      </w:r>
      <w:r>
        <w:rPr>
          <w:rFonts w:hint="eastAsia" w:ascii="仿宋_GB2312" w:hAnsi="仿宋_GB2312" w:eastAsia="仿宋_GB2312" w:cs="仿宋_GB2312"/>
          <w:spacing w:val="-1"/>
          <w:sz w:val="28"/>
          <w:szCs w:val="28"/>
          <w:lang w:val="en-US" w:eastAsia="zh-CN"/>
        </w:rPr>
        <w:t>在管物业项目的绿化修剪养护费用的市场参考，与项目招标无关。</w:t>
      </w:r>
    </w:p>
    <w:p>
      <w:pPr>
        <w:pStyle w:val="6"/>
        <w:keepNext w:val="0"/>
        <w:keepLines w:val="0"/>
        <w:pageBreakBefore w:val="0"/>
        <w:widowControl w:val="0"/>
        <w:numPr>
          <w:ilvl w:val="0"/>
          <w:numId w:val="2"/>
        </w:numPr>
        <w:kinsoku/>
        <w:wordWrap/>
        <w:overflowPunct/>
        <w:topLinePunct w:val="0"/>
        <w:autoSpaceDE/>
        <w:autoSpaceDN/>
        <w:bidi w:val="0"/>
        <w:adjustRightInd/>
        <w:snapToGrid/>
        <w:ind w:firstLine="556" w:firstLineChars="200"/>
        <w:textAlignment w:val="auto"/>
        <w:rPr>
          <w:rFonts w:hint="eastAsia" w:ascii="仿宋_GB2312" w:hAnsi="仿宋_GB2312" w:eastAsia="仿宋_GB2312" w:cs="仿宋_GB2312"/>
          <w:spacing w:val="-1"/>
          <w:sz w:val="28"/>
          <w:szCs w:val="28"/>
          <w:lang w:val="en-US" w:eastAsia="zh-CN"/>
        </w:rPr>
      </w:pPr>
      <w:r>
        <w:rPr>
          <w:rFonts w:hint="eastAsia" w:ascii="仿宋_GB2312" w:hAnsi="仿宋_GB2312" w:eastAsia="仿宋_GB2312" w:cs="仿宋_GB2312"/>
          <w:spacing w:val="-1"/>
          <w:sz w:val="28"/>
          <w:szCs w:val="28"/>
          <w:lang w:val="en-US" w:eastAsia="zh-CN"/>
        </w:rPr>
        <w:t>报价回复时间、方式及联系人</w:t>
      </w: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如有合作意向，请于2024年8月8日18:00之前将满足上述要求的报价表发送至电子邮箱（lygdwy806@126.com）。</w:t>
      </w: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联系人：张女士          电话：0379-63005180</w:t>
      </w: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pPr>
        <w:pStyle w:val="6"/>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p>
    <w:p>
      <w:pPr>
        <w:pStyle w:val="6"/>
        <w:keepNext w:val="0"/>
        <w:keepLines w:val="0"/>
        <w:pageBreakBefore w:val="0"/>
        <w:widowControl w:val="0"/>
        <w:numPr>
          <w:ilvl w:val="0"/>
          <w:numId w:val="0"/>
        </w:numPr>
        <w:kinsoku/>
        <w:wordWrap/>
        <w:overflowPunct/>
        <w:topLinePunct w:val="0"/>
        <w:autoSpaceDE/>
        <w:autoSpaceDN/>
        <w:bidi w:val="0"/>
        <w:adjustRightInd/>
        <w:snapToGrid/>
        <w:ind w:firstLine="4200" w:firstLineChars="15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洛阳轨道物业管理有限公司</w:t>
      </w:r>
    </w:p>
    <w:p>
      <w:pPr>
        <w:pStyle w:val="6"/>
        <w:keepNext w:val="0"/>
        <w:keepLines w:val="0"/>
        <w:pageBreakBefore w:val="0"/>
        <w:widowControl w:val="0"/>
        <w:numPr>
          <w:ilvl w:val="0"/>
          <w:numId w:val="0"/>
        </w:numPr>
        <w:kinsoku/>
        <w:wordWrap/>
        <w:overflowPunct/>
        <w:topLinePunct w:val="0"/>
        <w:autoSpaceDE/>
        <w:autoSpaceDN/>
        <w:bidi w:val="0"/>
        <w:adjustRightInd/>
        <w:snapToGrid/>
        <w:ind w:firstLine="4760" w:firstLineChars="17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2024年7月29日</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bookmarkStart w:id="1" w:name="_GoBack"/>
      <w:bookmarkEnd w:id="1"/>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br w:type="page"/>
      </w:r>
    </w:p>
    <w:p>
      <w:pPr>
        <w:pStyle w:val="6"/>
        <w:keepNext w:val="0"/>
        <w:keepLines w:val="0"/>
        <w:pageBreakBefore w:val="0"/>
        <w:widowControl w:val="0"/>
        <w:numPr>
          <w:ilvl w:val="0"/>
          <w:numId w:val="0"/>
        </w:numPr>
        <w:kinsoku/>
        <w:wordWrap/>
        <w:overflowPunct/>
        <w:topLinePunct w:val="0"/>
        <w:autoSpaceDE/>
        <w:autoSpaceDN/>
        <w:bidi w:val="0"/>
        <w:adjustRightInd/>
        <w:snapToGrid/>
        <w:ind w:firstLine="4760" w:firstLineChars="1700"/>
        <w:textAlignment w:val="auto"/>
        <w:rPr>
          <w:rFonts w:hint="default" w:ascii="仿宋_GB2312" w:hAnsi="仿宋_GB2312" w:eastAsia="仿宋_GB2312" w:cs="仿宋_GB2312"/>
          <w:sz w:val="28"/>
          <w:szCs w:val="28"/>
          <w:lang w:val="en-US" w:eastAsia="zh-CN"/>
        </w:rPr>
      </w:pPr>
    </w:p>
    <w:p>
      <w:pPr>
        <w:pStyle w:val="4"/>
        <w:jc w:val="both"/>
        <w:rPr>
          <w:rFonts w:hint="default" w:ascii="宋体" w:hAnsi="宋体" w:eastAsia="宋体" w:cs="宋体"/>
          <w:b/>
          <w:bCs/>
          <w:sz w:val="28"/>
          <w:szCs w:val="28"/>
          <w:lang w:val="en-US" w:eastAsia="zh-CN" w:bidi="ar-SA"/>
        </w:rPr>
      </w:pPr>
      <w:r>
        <w:rPr>
          <w:rFonts w:hint="eastAsia" w:ascii="宋体" w:hAnsi="宋体" w:eastAsia="宋体" w:cs="宋体"/>
          <w:b/>
          <w:bCs/>
          <w:sz w:val="28"/>
          <w:szCs w:val="28"/>
          <w:lang w:val="en-US" w:eastAsia="zh-CN" w:bidi="ar-SA"/>
        </w:rPr>
        <w:t>附件2</w:t>
      </w:r>
    </w:p>
    <w:p>
      <w:pPr>
        <w:pStyle w:val="4"/>
        <w:rPr>
          <w:rFonts w:hint="default" w:ascii="宋体" w:hAnsi="宋体" w:eastAsia="宋体" w:cs="宋体"/>
          <w:b/>
          <w:bCs/>
          <w:sz w:val="32"/>
          <w:szCs w:val="32"/>
          <w:lang w:val="en-US" w:eastAsia="zh-CN" w:bidi="ar-SA"/>
        </w:rPr>
      </w:pPr>
      <w:r>
        <w:rPr>
          <w:rFonts w:hint="eastAsia" w:ascii="宋体" w:hAnsi="宋体" w:eastAsia="宋体" w:cs="宋体"/>
          <w:b/>
          <w:bCs/>
          <w:sz w:val="32"/>
          <w:szCs w:val="32"/>
          <w:lang w:val="en-US" w:eastAsia="zh-CN" w:bidi="ar-SA"/>
        </w:rPr>
        <w:t>绿化养护项目报价单</w:t>
      </w:r>
    </w:p>
    <w:p>
      <w:pPr>
        <w:rPr>
          <w:rFonts w:hint="eastAsia" w:ascii="仿宋_GB2312" w:hAnsi="仿宋_GB2312" w:eastAsia="仿宋_GB2312" w:cs="仿宋_GB2312"/>
          <w:b w:val="0"/>
          <w:bCs w:val="0"/>
          <w:sz w:val="28"/>
          <w:szCs w:val="28"/>
          <w:lang w:val="en-US" w:eastAsia="zh-CN" w:bidi="ar-SA"/>
        </w:rPr>
      </w:pPr>
    </w:p>
    <w:p>
      <w:pPr>
        <w:rPr>
          <w:rFonts w:hint="eastAsia" w:ascii="仿宋_GB2312" w:hAnsi="仿宋_GB2312" w:eastAsia="仿宋_GB2312" w:cs="仿宋_GB2312"/>
          <w:b w:val="0"/>
          <w:bCs w:val="0"/>
          <w:sz w:val="28"/>
          <w:szCs w:val="28"/>
          <w:lang w:val="en-US" w:eastAsia="zh-CN" w:bidi="ar-SA"/>
        </w:rPr>
      </w:pPr>
      <w:r>
        <w:rPr>
          <w:rFonts w:hint="eastAsia" w:ascii="仿宋_GB2312" w:hAnsi="仿宋_GB2312" w:eastAsia="仿宋_GB2312" w:cs="仿宋_GB2312"/>
          <w:b w:val="0"/>
          <w:bCs w:val="0"/>
          <w:sz w:val="28"/>
          <w:szCs w:val="28"/>
          <w:lang w:val="en-US" w:eastAsia="zh-CN" w:bidi="ar-SA"/>
        </w:rPr>
        <w:t>报价单位（公章）：</w:t>
      </w:r>
    </w:p>
    <w:p>
      <w:pPr>
        <w:pStyle w:val="4"/>
        <w:rPr>
          <w:rFonts w:hint="eastAsia"/>
          <w:lang w:val="en-US" w:eastAsia="zh-CN"/>
        </w:rPr>
      </w:pPr>
    </w:p>
    <w:tbl>
      <w:tblPr>
        <w:tblStyle w:val="9"/>
        <w:tblW w:w="8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925"/>
        <w:gridCol w:w="1009"/>
        <w:gridCol w:w="1196"/>
        <w:gridCol w:w="875"/>
        <w:gridCol w:w="1116"/>
        <w:gridCol w:w="733"/>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515" w:type="dxa"/>
            <w:vAlign w:val="center"/>
          </w:tcPr>
          <w:p>
            <w:pPr>
              <w:pStyle w:val="4"/>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1925"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绿化养护点</w:t>
            </w:r>
          </w:p>
        </w:tc>
        <w:tc>
          <w:tcPr>
            <w:tcW w:w="1009" w:type="dxa"/>
            <w:vAlign w:val="center"/>
          </w:tcPr>
          <w:p>
            <w:pPr>
              <w:pStyle w:val="4"/>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养护</w:t>
            </w:r>
          </w:p>
          <w:p>
            <w:pPr>
              <w:pStyle w:val="4"/>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面积</w:t>
            </w:r>
          </w:p>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（m²）</w:t>
            </w:r>
          </w:p>
        </w:tc>
        <w:tc>
          <w:tcPr>
            <w:tcW w:w="1196" w:type="dxa"/>
            <w:vAlign w:val="center"/>
          </w:tcPr>
          <w:p>
            <w:pPr>
              <w:pStyle w:val="4"/>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承包经费单价</w:t>
            </w:r>
          </w:p>
          <w:p>
            <w:pPr>
              <w:pStyle w:val="4"/>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（含税）</w:t>
            </w:r>
          </w:p>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（元/月）</w:t>
            </w:r>
          </w:p>
        </w:tc>
        <w:tc>
          <w:tcPr>
            <w:tcW w:w="875" w:type="dxa"/>
          </w:tcPr>
          <w:p>
            <w:pPr>
              <w:pStyle w:val="4"/>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养护</w:t>
            </w:r>
          </w:p>
          <w:p>
            <w:pPr>
              <w:pStyle w:val="4"/>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时间</w:t>
            </w:r>
          </w:p>
          <w:p>
            <w:pPr>
              <w:pStyle w:val="4"/>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（月）</w:t>
            </w:r>
          </w:p>
        </w:tc>
        <w:tc>
          <w:tcPr>
            <w:tcW w:w="1116" w:type="dxa"/>
            <w:vAlign w:val="center"/>
          </w:tcPr>
          <w:p>
            <w:pPr>
              <w:pStyle w:val="4"/>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总价</w:t>
            </w:r>
          </w:p>
          <w:p>
            <w:pPr>
              <w:pStyle w:val="4"/>
              <w:jc w:val="center"/>
              <w:rPr>
                <w:rFonts w:hint="eastAsia"/>
                <w:lang w:val="en-US" w:eastAsia="zh-CN"/>
              </w:rPr>
            </w:pPr>
            <w:r>
              <w:rPr>
                <w:rFonts w:hint="eastAsia" w:ascii="仿宋_GB2312" w:hAnsi="仿宋_GB2312" w:eastAsia="仿宋_GB2312" w:cs="仿宋_GB2312"/>
                <w:sz w:val="24"/>
                <w:szCs w:val="24"/>
                <w:vertAlign w:val="baseline"/>
                <w:lang w:val="en-US" w:eastAsia="zh-CN"/>
              </w:rPr>
              <w:t>（含税）</w:t>
            </w:r>
          </w:p>
          <w:p>
            <w:pPr>
              <w:jc w:val="center"/>
              <w:rPr>
                <w:rFonts w:hint="default"/>
                <w:lang w:val="en-US" w:eastAsia="zh-CN"/>
              </w:rPr>
            </w:pPr>
            <w:r>
              <w:rPr>
                <w:rFonts w:hint="eastAsia" w:ascii="仿宋_GB2312" w:hAnsi="仿宋_GB2312" w:eastAsia="仿宋_GB2312" w:cs="仿宋_GB2312"/>
                <w:sz w:val="24"/>
                <w:szCs w:val="24"/>
                <w:vertAlign w:val="baseline"/>
                <w:lang w:val="en-US" w:eastAsia="zh-CN"/>
              </w:rPr>
              <w:t>（元）</w:t>
            </w:r>
          </w:p>
        </w:tc>
        <w:tc>
          <w:tcPr>
            <w:tcW w:w="733" w:type="dxa"/>
            <w:vAlign w:val="center"/>
          </w:tcPr>
          <w:p>
            <w:pPr>
              <w:pStyle w:val="4"/>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税率</w:t>
            </w:r>
          </w:p>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w:t>
            </w:r>
          </w:p>
        </w:tc>
        <w:tc>
          <w:tcPr>
            <w:tcW w:w="767"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15"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1925" w:type="dxa"/>
            <w:vAlign w:val="center"/>
          </w:tcPr>
          <w:p>
            <w:pPr>
              <w:pStyle w:val="4"/>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pacing w:val="-1"/>
                <w:sz w:val="24"/>
                <w:szCs w:val="24"/>
                <w:lang w:val="en-US" w:eastAsia="zh-CN"/>
              </w:rPr>
              <w:t>控制中心</w:t>
            </w:r>
          </w:p>
        </w:tc>
        <w:tc>
          <w:tcPr>
            <w:tcW w:w="1009"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4000</w:t>
            </w:r>
          </w:p>
        </w:tc>
        <w:tc>
          <w:tcPr>
            <w:tcW w:w="1196"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875"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18</w:t>
            </w:r>
          </w:p>
        </w:tc>
        <w:tc>
          <w:tcPr>
            <w:tcW w:w="1116"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733"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767" w:type="dxa"/>
            <w:vAlign w:val="center"/>
          </w:tcPr>
          <w:p>
            <w:pPr>
              <w:pStyle w:val="4"/>
              <w:jc w:val="center"/>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15"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w:t>
            </w:r>
          </w:p>
        </w:tc>
        <w:tc>
          <w:tcPr>
            <w:tcW w:w="1925" w:type="dxa"/>
            <w:vAlign w:val="center"/>
          </w:tcPr>
          <w:p>
            <w:pPr>
              <w:pStyle w:val="4"/>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pacing w:val="-1"/>
                <w:sz w:val="24"/>
                <w:szCs w:val="24"/>
                <w:lang w:val="en-US" w:eastAsia="zh-CN"/>
              </w:rPr>
              <w:t>刘富村车辆段</w:t>
            </w:r>
          </w:p>
        </w:tc>
        <w:tc>
          <w:tcPr>
            <w:tcW w:w="1009"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40000</w:t>
            </w:r>
          </w:p>
        </w:tc>
        <w:tc>
          <w:tcPr>
            <w:tcW w:w="1196"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875"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18</w:t>
            </w:r>
          </w:p>
        </w:tc>
        <w:tc>
          <w:tcPr>
            <w:tcW w:w="1116"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733"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767" w:type="dxa"/>
            <w:vAlign w:val="center"/>
          </w:tcPr>
          <w:p>
            <w:pPr>
              <w:pStyle w:val="4"/>
              <w:jc w:val="center"/>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15"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w:t>
            </w:r>
          </w:p>
        </w:tc>
        <w:tc>
          <w:tcPr>
            <w:tcW w:w="1925" w:type="dxa"/>
            <w:vAlign w:val="center"/>
          </w:tcPr>
          <w:p>
            <w:pPr>
              <w:pStyle w:val="4"/>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pacing w:val="-1"/>
                <w:sz w:val="24"/>
                <w:szCs w:val="24"/>
                <w:lang w:val="en-US" w:eastAsia="zh-CN"/>
              </w:rPr>
              <w:t>红山车辆段</w:t>
            </w:r>
          </w:p>
        </w:tc>
        <w:tc>
          <w:tcPr>
            <w:tcW w:w="1009"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37000</w:t>
            </w:r>
          </w:p>
        </w:tc>
        <w:tc>
          <w:tcPr>
            <w:tcW w:w="1196"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875"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18</w:t>
            </w:r>
          </w:p>
        </w:tc>
        <w:tc>
          <w:tcPr>
            <w:tcW w:w="1116"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733"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767" w:type="dxa"/>
            <w:vAlign w:val="center"/>
          </w:tcPr>
          <w:p>
            <w:pPr>
              <w:pStyle w:val="4"/>
              <w:jc w:val="center"/>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15"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w:t>
            </w:r>
          </w:p>
        </w:tc>
        <w:tc>
          <w:tcPr>
            <w:tcW w:w="1925" w:type="dxa"/>
            <w:vAlign w:val="center"/>
          </w:tcPr>
          <w:p>
            <w:pPr>
              <w:pStyle w:val="4"/>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pacing w:val="-1"/>
                <w:sz w:val="24"/>
                <w:szCs w:val="24"/>
                <w:lang w:val="en-US" w:eastAsia="zh-CN"/>
              </w:rPr>
              <w:t>瀍东停车场</w:t>
            </w:r>
          </w:p>
        </w:tc>
        <w:tc>
          <w:tcPr>
            <w:tcW w:w="1009"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4900</w:t>
            </w:r>
          </w:p>
        </w:tc>
        <w:tc>
          <w:tcPr>
            <w:tcW w:w="1196"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875"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18</w:t>
            </w:r>
          </w:p>
        </w:tc>
        <w:tc>
          <w:tcPr>
            <w:tcW w:w="1116"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733"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767" w:type="dxa"/>
            <w:vAlign w:val="center"/>
          </w:tcPr>
          <w:p>
            <w:pPr>
              <w:pStyle w:val="4"/>
              <w:jc w:val="center"/>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515"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w:t>
            </w:r>
          </w:p>
        </w:tc>
        <w:tc>
          <w:tcPr>
            <w:tcW w:w="1925" w:type="dxa"/>
            <w:vAlign w:val="center"/>
          </w:tcPr>
          <w:p>
            <w:pPr>
              <w:pStyle w:val="4"/>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合计</w:t>
            </w:r>
          </w:p>
        </w:tc>
        <w:tc>
          <w:tcPr>
            <w:tcW w:w="1009"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1196"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875" w:type="dxa"/>
            <w:vAlign w:val="center"/>
          </w:tcPr>
          <w:p>
            <w:pPr>
              <w:pStyle w:val="4"/>
              <w:jc w:val="center"/>
              <w:rPr>
                <w:rFonts w:hint="default" w:ascii="仿宋_GB2312" w:hAnsi="仿宋_GB2312" w:eastAsia="仿宋_GB2312" w:cs="仿宋_GB2312"/>
                <w:sz w:val="24"/>
                <w:szCs w:val="24"/>
                <w:vertAlign w:val="baseline"/>
                <w:lang w:val="en-US" w:eastAsia="zh-CN"/>
              </w:rPr>
            </w:pPr>
          </w:p>
        </w:tc>
        <w:tc>
          <w:tcPr>
            <w:tcW w:w="1116"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733" w:type="dxa"/>
            <w:vAlign w:val="center"/>
          </w:tcPr>
          <w:p>
            <w:pPr>
              <w:pStyle w:val="4"/>
              <w:jc w:val="center"/>
              <w:rPr>
                <w:rFonts w:hint="eastAsia" w:ascii="仿宋_GB2312" w:hAnsi="仿宋_GB2312" w:eastAsia="仿宋_GB2312" w:cs="仿宋_GB2312"/>
                <w:sz w:val="24"/>
                <w:szCs w:val="24"/>
                <w:vertAlign w:val="baseline"/>
                <w:lang w:val="en-US" w:eastAsia="zh-CN"/>
              </w:rPr>
            </w:pPr>
          </w:p>
        </w:tc>
        <w:tc>
          <w:tcPr>
            <w:tcW w:w="767" w:type="dxa"/>
            <w:vAlign w:val="center"/>
          </w:tcPr>
          <w:p>
            <w:pPr>
              <w:pStyle w:val="4"/>
              <w:jc w:val="center"/>
              <w:rPr>
                <w:rFonts w:hint="eastAsia" w:ascii="仿宋_GB2312" w:hAnsi="仿宋_GB2312" w:eastAsia="仿宋_GB2312" w:cs="仿宋_GB2312"/>
                <w:sz w:val="24"/>
                <w:szCs w:val="24"/>
                <w:vertAlign w:val="baseline"/>
                <w:lang w:val="en-US" w:eastAsia="zh-CN"/>
              </w:rPr>
            </w:pPr>
          </w:p>
        </w:tc>
      </w:tr>
    </w:tbl>
    <w:p>
      <w:pPr>
        <w:pStyle w:val="4"/>
        <w:rPr>
          <w:rFonts w:hint="eastAsia" w:ascii="仿宋_GB2312" w:hAnsi="仿宋_GB2312" w:eastAsia="仿宋_GB2312" w:cs="仿宋_GB2312"/>
          <w:sz w:val="28"/>
          <w:szCs w:val="28"/>
          <w:lang w:val="en-US" w:eastAsia="zh-CN"/>
        </w:rPr>
      </w:pPr>
    </w:p>
    <w:p>
      <w:pPr>
        <w:rPr>
          <w:rFonts w:hint="default" w:ascii="仿宋_GB2312" w:hAnsi="仿宋_GB2312" w:eastAsia="仿宋_GB2312" w:cs="仿宋_GB2312"/>
          <w:b w:val="0"/>
          <w:bCs w:val="0"/>
          <w:sz w:val="24"/>
          <w:szCs w:val="24"/>
          <w:lang w:val="en-US" w:eastAsia="zh-CN" w:bidi="ar-SA"/>
        </w:rPr>
      </w:pPr>
      <w:r>
        <w:rPr>
          <w:rFonts w:hint="eastAsia" w:ascii="仿宋_GB2312" w:hAnsi="仿宋_GB2312" w:eastAsia="仿宋_GB2312" w:cs="仿宋_GB2312"/>
          <w:b w:val="0"/>
          <w:bCs w:val="0"/>
          <w:sz w:val="24"/>
          <w:szCs w:val="24"/>
          <w:lang w:val="en-US" w:eastAsia="zh-CN" w:bidi="ar-SA"/>
        </w:rPr>
        <w:t>经办人：                         联系电话：</w:t>
      </w:r>
    </w:p>
    <w:p>
      <w:pPr>
        <w:rPr>
          <w:rFonts w:hint="default" w:eastAsia="仿宋_GB2312"/>
          <w:sz w:val="24"/>
          <w:szCs w:val="24"/>
          <w:lang w:val="en-US" w:eastAsia="zh-CN"/>
        </w:rPr>
      </w:pPr>
    </w:p>
    <w:p>
      <w:pPr>
        <w:pStyle w:val="2"/>
        <w:rPr>
          <w:rFonts w:hint="default" w:eastAsia="仿宋_GB2312"/>
          <w:sz w:val="24"/>
          <w:szCs w:val="24"/>
          <w:lang w:val="en-US" w:eastAsia="zh-CN"/>
        </w:rPr>
      </w:pPr>
    </w:p>
    <w:p>
      <w:pPr>
        <w:pStyle w:val="2"/>
        <w:rPr>
          <w:rFonts w:hint="default" w:eastAsia="仿宋_GB2312"/>
          <w:sz w:val="24"/>
          <w:szCs w:val="24"/>
          <w:lang w:val="en-US" w:eastAsia="zh-CN"/>
        </w:rPr>
      </w:pPr>
    </w:p>
    <w:p>
      <w:pPr>
        <w:pStyle w:val="2"/>
        <w:rPr>
          <w:rFonts w:hint="default" w:eastAsia="仿宋_GB2312"/>
          <w:sz w:val="24"/>
          <w:szCs w:val="24"/>
          <w:lang w:val="en-US" w:eastAsia="zh-CN"/>
        </w:rPr>
      </w:pPr>
    </w:p>
    <w:p>
      <w:pPr>
        <w:pStyle w:val="2"/>
        <w:rPr>
          <w:rFonts w:hint="default" w:eastAsia="仿宋_GB2312"/>
          <w:sz w:val="24"/>
          <w:szCs w:val="24"/>
          <w:lang w:val="en-US" w:eastAsia="zh-CN"/>
        </w:rPr>
      </w:pPr>
    </w:p>
    <w:p>
      <w:pPr>
        <w:pStyle w:val="2"/>
        <w:rPr>
          <w:rFonts w:hint="default" w:eastAsia="仿宋_GB2312"/>
          <w:sz w:val="24"/>
          <w:szCs w:val="24"/>
          <w:lang w:val="en-US" w:eastAsia="zh-CN"/>
        </w:rPr>
      </w:pPr>
    </w:p>
    <w:p>
      <w:pPr>
        <w:pStyle w:val="2"/>
        <w:rPr>
          <w:rFonts w:hint="default" w:eastAsia="仿宋_GB2312"/>
          <w:sz w:val="24"/>
          <w:szCs w:val="24"/>
          <w:lang w:val="en-US" w:eastAsia="zh-CN"/>
        </w:rPr>
      </w:pPr>
    </w:p>
    <w:p>
      <w:pPr>
        <w:pStyle w:val="2"/>
        <w:rPr>
          <w:rFonts w:hint="default" w:eastAsia="仿宋_GB2312"/>
          <w:sz w:val="24"/>
          <w:szCs w:val="24"/>
          <w:lang w:val="en-US" w:eastAsia="zh-CN"/>
        </w:rPr>
      </w:pPr>
    </w:p>
    <w:p>
      <w:pPr>
        <w:pStyle w:val="2"/>
        <w:rPr>
          <w:rFonts w:hint="default" w:eastAsia="仿宋_GB2312"/>
          <w:sz w:val="24"/>
          <w:szCs w:val="24"/>
          <w:lang w:val="en-US" w:eastAsia="zh-CN"/>
        </w:rPr>
      </w:pPr>
    </w:p>
    <w:p>
      <w:pPr>
        <w:pStyle w:val="2"/>
        <w:rPr>
          <w:rFonts w:hint="default" w:eastAsia="仿宋_GB2312"/>
          <w:sz w:val="24"/>
          <w:szCs w:val="24"/>
          <w:lang w:val="en-US" w:eastAsia="zh-CN"/>
        </w:rPr>
      </w:pPr>
    </w:p>
    <w:p>
      <w:pPr>
        <w:pStyle w:val="2"/>
        <w:rPr>
          <w:rFonts w:hint="default"/>
          <w:lang w:val="en-US" w:eastAsia="zh-CN"/>
        </w:rPr>
        <w:sectPr>
          <w:pgSz w:w="11906" w:h="16838"/>
          <w:pgMar w:top="1440" w:right="1800" w:bottom="1440" w:left="1800" w:header="851" w:footer="992" w:gutter="0"/>
          <w:cols w:space="425" w:num="1"/>
          <w:docGrid w:type="lines" w:linePitch="312" w:charSpace="0"/>
        </w:sectPr>
      </w:pPr>
    </w:p>
    <w:p>
      <w:pPr>
        <w:spacing w:line="347" w:lineRule="auto"/>
        <w:rPr>
          <w:rFonts w:hint="default" w:ascii="Arial" w:eastAsia="宋体"/>
          <w:sz w:val="28"/>
          <w:szCs w:val="28"/>
          <w:lang w:val="en-US" w:eastAsia="zh-CN"/>
        </w:rPr>
      </w:pPr>
      <w:r>
        <w:rPr>
          <w:rFonts w:hint="eastAsia" w:ascii="仿宋_GB2312" w:hAnsi="仿宋_GB2312" w:eastAsia="仿宋_GB2312" w:cs="仿宋_GB2312"/>
          <w:b/>
          <w:bCs/>
          <w:sz w:val="28"/>
          <w:szCs w:val="28"/>
          <w:lang w:val="en-US" w:eastAsia="zh-CN"/>
        </w:rPr>
        <w:t>附件1</w:t>
      </w:r>
    </w:p>
    <w:p>
      <w:pPr>
        <w:spacing w:line="348" w:lineRule="auto"/>
        <w:rPr>
          <w:rFonts w:ascii="Arial"/>
          <w:sz w:val="21"/>
        </w:rPr>
      </w:pPr>
    </w:p>
    <w:p>
      <w:pPr>
        <w:pStyle w:val="7"/>
        <w:spacing w:before="117" w:line="218" w:lineRule="auto"/>
        <w:jc w:val="center"/>
        <w:outlineLvl w:val="0"/>
        <w:rPr>
          <w:rFonts w:hint="eastAsia" w:ascii="方正小标宋简体" w:hAnsi="方正小标宋简体" w:eastAsia="方正小标宋简体" w:cs="方正小标宋简体"/>
          <w:spacing w:val="1"/>
          <w:sz w:val="44"/>
          <w:szCs w:val="44"/>
          <w:lang w:val="en-US" w:eastAsia="zh-CN"/>
          <w14:textOutline w14:w="6540" w14:cap="flat" w14:cmpd="sng">
            <w14:solidFill>
              <w14:srgbClr w14:val="000000"/>
            </w14:solidFill>
            <w14:prstDash w14:val="solid"/>
            <w14:miter w14:val="0"/>
          </w14:textOutline>
        </w:rPr>
      </w:pPr>
      <w:r>
        <w:rPr>
          <w:rFonts w:hint="eastAsia" w:ascii="方正小标宋简体" w:hAnsi="方正小标宋简体" w:eastAsia="方正小标宋简体" w:cs="方正小标宋简体"/>
          <w:spacing w:val="1"/>
          <w:sz w:val="44"/>
          <w:szCs w:val="44"/>
          <w:lang w:val="en-US" w:eastAsia="zh-CN"/>
          <w14:textOutline w14:w="6540" w14:cap="flat" w14:cmpd="sng">
            <w14:solidFill>
              <w14:srgbClr w14:val="000000"/>
            </w14:solidFill>
            <w14:prstDash w14:val="solid"/>
            <w14:miter w14:val="0"/>
          </w14:textOutline>
        </w:rPr>
        <w:t>绿化养护用户需求书</w:t>
      </w:r>
    </w:p>
    <w:p>
      <w:pPr>
        <w:pStyle w:val="7"/>
        <w:keepNext w:val="0"/>
        <w:keepLines w:val="0"/>
        <w:pageBreakBefore w:val="0"/>
        <w:widowControl/>
        <w:kinsoku w:val="0"/>
        <w:wordWrap/>
        <w:overflowPunct/>
        <w:topLinePunct w:val="0"/>
        <w:autoSpaceDE w:val="0"/>
        <w:autoSpaceDN w:val="0"/>
        <w:bidi w:val="0"/>
        <w:adjustRightInd w:val="0"/>
        <w:snapToGrid w:val="0"/>
        <w:spacing w:before="117" w:line="600" w:lineRule="exact"/>
        <w:ind w:firstLine="652" w:firstLineChars="200"/>
        <w:jc w:val="left"/>
        <w:textAlignment w:val="baseline"/>
        <w:outlineLvl w:val="0"/>
        <w:rPr>
          <w:rFonts w:hint="eastAsia" w:ascii="黑体" w:hAnsi="黑体" w:eastAsia="黑体" w:cs="黑体"/>
          <w:sz w:val="32"/>
          <w:szCs w:val="32"/>
        </w:rPr>
      </w:pPr>
      <w:r>
        <w:rPr>
          <w:rFonts w:hint="eastAsia" w:ascii="黑体" w:hAnsi="黑体" w:eastAsia="黑体" w:cs="黑体"/>
          <w:spacing w:val="3"/>
          <w:sz w:val="32"/>
          <w:szCs w:val="32"/>
          <w14:textOutline w14:w="5170" w14:cap="flat" w14:cmpd="sng">
            <w14:solidFill>
              <w14:srgbClr w14:val="000000"/>
            </w14:solidFill>
            <w14:prstDash w14:val="solid"/>
            <w14:miter w14:val="0"/>
          </w14:textOutline>
        </w:rPr>
        <w:t>一、项目概况</w:t>
      </w:r>
    </w:p>
    <w:p>
      <w:pPr>
        <w:pStyle w:val="7"/>
        <w:keepNext w:val="0"/>
        <w:keepLines w:val="0"/>
        <w:pageBreakBefore w:val="0"/>
        <w:widowControl/>
        <w:kinsoku w:val="0"/>
        <w:wordWrap/>
        <w:overflowPunct/>
        <w:topLinePunct w:val="0"/>
        <w:autoSpaceDE w:val="0"/>
        <w:autoSpaceDN w:val="0"/>
        <w:bidi w:val="0"/>
        <w:adjustRightInd w:val="0"/>
        <w:snapToGrid w:val="0"/>
        <w:spacing w:before="153" w:line="600" w:lineRule="exact"/>
        <w:ind w:left="45" w:firstLine="480"/>
        <w:textAlignment w:val="baseline"/>
        <w:rPr>
          <w:rFonts w:hint="eastAsia" w:ascii="仿宋_GB2312" w:hAnsi="仿宋_GB2312" w:eastAsia="仿宋_GB2312" w:cs="仿宋_GB2312"/>
          <w:sz w:val="32"/>
          <w:szCs w:val="32"/>
          <w:lang w:val="en-US"/>
        </w:rPr>
      </w:pPr>
      <w:r>
        <w:rPr>
          <w:rFonts w:hint="eastAsia" w:ascii="Times New Roman" w:hAnsi="Times New Roman" w:eastAsia="仿宋_GB2312" w:cs="Times New Roman"/>
          <w:spacing w:val="-1"/>
          <w:sz w:val="32"/>
          <w:szCs w:val="32"/>
          <w:lang w:val="en-US" w:eastAsia="zh-CN"/>
        </w:rPr>
        <w:t>（一）</w:t>
      </w:r>
      <w:r>
        <w:rPr>
          <w:rFonts w:hint="eastAsia" w:ascii="仿宋_GB2312" w:hAnsi="仿宋_GB2312" w:eastAsia="仿宋_GB2312" w:cs="仿宋_GB2312"/>
          <w:spacing w:val="-1"/>
          <w:sz w:val="32"/>
          <w:szCs w:val="32"/>
        </w:rPr>
        <w:t>项目概况：本项目为</w:t>
      </w:r>
      <w:r>
        <w:rPr>
          <w:rFonts w:hint="eastAsia" w:ascii="仿宋_GB2312" w:hAnsi="仿宋_GB2312" w:eastAsia="仿宋_GB2312" w:cs="仿宋_GB2312"/>
          <w:spacing w:val="-1"/>
          <w:sz w:val="32"/>
          <w:szCs w:val="32"/>
          <w:lang w:val="en-US" w:eastAsia="zh-CN"/>
        </w:rPr>
        <w:t>洛阳轨道物业管理有限公司在管物业项目的绿化修剪养护</w:t>
      </w:r>
      <w:r>
        <w:rPr>
          <w:rFonts w:hint="eastAsia" w:ascii="仿宋_GB2312" w:hAnsi="仿宋_GB2312" w:eastAsia="仿宋_GB2312" w:cs="仿宋_GB2312"/>
          <w:spacing w:val="-1"/>
          <w:sz w:val="32"/>
          <w:szCs w:val="32"/>
        </w:rPr>
        <w:t>项目，主要</w:t>
      </w:r>
      <w:r>
        <w:rPr>
          <w:rFonts w:hint="eastAsia" w:ascii="仿宋_GB2312" w:hAnsi="仿宋_GB2312" w:eastAsia="仿宋_GB2312" w:cs="仿宋_GB2312"/>
          <w:spacing w:val="-1"/>
          <w:sz w:val="32"/>
          <w:szCs w:val="32"/>
          <w:lang w:val="en-US" w:eastAsia="zh-CN"/>
        </w:rPr>
        <w:t>项目</w:t>
      </w:r>
      <w:r>
        <w:rPr>
          <w:rFonts w:hint="eastAsia" w:ascii="仿宋_GB2312" w:hAnsi="仿宋_GB2312" w:eastAsia="仿宋_GB2312" w:cs="仿宋_GB2312"/>
          <w:spacing w:val="-1"/>
          <w:sz w:val="32"/>
          <w:szCs w:val="32"/>
        </w:rPr>
        <w:t>包含</w:t>
      </w:r>
      <w:r>
        <w:rPr>
          <w:rFonts w:hint="eastAsia" w:ascii="仿宋_GB2312" w:hAnsi="仿宋_GB2312" w:eastAsia="仿宋_GB2312" w:cs="仿宋_GB2312"/>
          <w:spacing w:val="-1"/>
          <w:sz w:val="32"/>
          <w:szCs w:val="32"/>
          <w:lang w:val="en-US" w:eastAsia="zh-CN"/>
        </w:rPr>
        <w:t>洛阳轨道交通控制中心、刘富村车辆段、红山车辆段、瀍东停车场，控制中心绿化修剪养护面积约</w:t>
      </w:r>
      <w:r>
        <w:rPr>
          <w:rFonts w:hint="eastAsia" w:ascii="Times New Roman" w:hAnsi="Times New Roman" w:eastAsia="仿宋_GB2312" w:cs="Times New Roman"/>
          <w:spacing w:val="-1"/>
          <w:sz w:val="32"/>
          <w:szCs w:val="32"/>
          <w:lang w:val="en-US" w:eastAsia="zh-CN"/>
        </w:rPr>
        <w:t>4000m²</w:t>
      </w:r>
      <w:r>
        <w:rPr>
          <w:rFonts w:hint="eastAsia" w:ascii="仿宋_GB2312" w:hAnsi="仿宋_GB2312" w:eastAsia="仿宋_GB2312" w:cs="仿宋_GB2312"/>
          <w:spacing w:val="-1"/>
          <w:sz w:val="32"/>
          <w:szCs w:val="32"/>
          <w:lang w:val="en-US" w:eastAsia="zh-CN"/>
        </w:rPr>
        <w:t>，刘富村车辆段绿化修剪养护面积约</w:t>
      </w:r>
      <w:r>
        <w:rPr>
          <w:rFonts w:hint="eastAsia" w:ascii="Times New Roman" w:hAnsi="Times New Roman" w:eastAsia="仿宋_GB2312" w:cs="Times New Roman"/>
          <w:spacing w:val="-1"/>
          <w:sz w:val="32"/>
          <w:szCs w:val="32"/>
          <w:lang w:val="en-US" w:eastAsia="zh-CN"/>
        </w:rPr>
        <w:t>40000m²</w:t>
      </w:r>
      <w:r>
        <w:rPr>
          <w:rFonts w:hint="eastAsia" w:ascii="仿宋_GB2312" w:hAnsi="仿宋_GB2312" w:eastAsia="仿宋_GB2312" w:cs="仿宋_GB2312"/>
          <w:spacing w:val="-1"/>
          <w:sz w:val="32"/>
          <w:szCs w:val="32"/>
          <w:lang w:val="en-US" w:eastAsia="zh-CN"/>
        </w:rPr>
        <w:t>；红山车辆段绿化修剪养护面积约</w:t>
      </w:r>
      <w:r>
        <w:rPr>
          <w:rFonts w:hint="eastAsia" w:ascii="Times New Roman" w:hAnsi="Times New Roman" w:eastAsia="仿宋_GB2312" w:cs="Times New Roman"/>
          <w:spacing w:val="-1"/>
          <w:sz w:val="32"/>
          <w:szCs w:val="32"/>
          <w:lang w:val="en-US" w:eastAsia="zh-CN"/>
        </w:rPr>
        <w:t>37000m²</w:t>
      </w:r>
      <w:r>
        <w:rPr>
          <w:rFonts w:hint="eastAsia" w:ascii="仿宋_GB2312" w:hAnsi="仿宋_GB2312" w:eastAsia="仿宋_GB2312" w:cs="仿宋_GB2312"/>
          <w:spacing w:val="-1"/>
          <w:sz w:val="32"/>
          <w:szCs w:val="32"/>
          <w:lang w:val="en-US" w:eastAsia="zh-CN"/>
        </w:rPr>
        <w:t>，瀍东停车场绿化修剪养护面积约</w:t>
      </w:r>
      <w:r>
        <w:rPr>
          <w:rFonts w:hint="default" w:ascii="Times New Roman" w:hAnsi="Times New Roman" w:eastAsia="仿宋_GB2312" w:cs="Times New Roman"/>
          <w:spacing w:val="-1"/>
          <w:sz w:val="32"/>
          <w:szCs w:val="32"/>
          <w:lang w:val="en-US" w:eastAsia="zh-CN"/>
        </w:rPr>
        <w:t>4900m²</w:t>
      </w:r>
      <w:r>
        <w:rPr>
          <w:rFonts w:hint="eastAsia" w:ascii="仿宋_GB2312" w:hAnsi="仿宋_GB2312" w:eastAsia="仿宋_GB2312" w:cs="仿宋_GB2312"/>
          <w:spacing w:val="-1"/>
          <w:sz w:val="32"/>
          <w:szCs w:val="32"/>
          <w:lang w:val="en-US" w:eastAsia="zh-CN"/>
        </w:rPr>
        <w:t>。</w:t>
      </w:r>
    </w:p>
    <w:p>
      <w:pPr>
        <w:pStyle w:val="7"/>
        <w:keepNext w:val="0"/>
        <w:keepLines w:val="0"/>
        <w:pageBreakBefore w:val="0"/>
        <w:widowControl/>
        <w:kinsoku w:val="0"/>
        <w:wordWrap/>
        <w:overflowPunct/>
        <w:topLinePunct w:val="0"/>
        <w:autoSpaceDE w:val="0"/>
        <w:autoSpaceDN w:val="0"/>
        <w:bidi w:val="0"/>
        <w:adjustRightInd w:val="0"/>
        <w:snapToGrid w:val="0"/>
        <w:spacing w:before="153" w:line="600" w:lineRule="exact"/>
        <w:ind w:left="45" w:firstLine="480"/>
        <w:textAlignment w:val="baseline"/>
        <w:rPr>
          <w:rFonts w:hint="eastAsia" w:ascii="Times New Roman" w:hAnsi="Times New Roman" w:eastAsia="仿宋_GB2312" w:cs="Times New Roman"/>
          <w:spacing w:val="-1"/>
          <w:sz w:val="32"/>
          <w:szCs w:val="32"/>
          <w:lang w:val="en-US" w:eastAsia="zh-CN"/>
        </w:rPr>
      </w:pPr>
      <w:r>
        <w:rPr>
          <w:rFonts w:hint="eastAsia" w:ascii="Times New Roman" w:hAnsi="Times New Roman" w:eastAsia="仿宋_GB2312" w:cs="Times New Roman"/>
          <w:spacing w:val="-1"/>
          <w:sz w:val="32"/>
          <w:szCs w:val="32"/>
          <w:lang w:val="en-US" w:eastAsia="zh-CN"/>
        </w:rPr>
        <w:t>（二）质量要求：符合国家及相关行业质量标准；</w:t>
      </w:r>
    </w:p>
    <w:p>
      <w:pPr>
        <w:pStyle w:val="7"/>
        <w:keepNext w:val="0"/>
        <w:keepLines w:val="0"/>
        <w:pageBreakBefore w:val="0"/>
        <w:widowControl/>
        <w:kinsoku w:val="0"/>
        <w:wordWrap/>
        <w:overflowPunct/>
        <w:topLinePunct w:val="0"/>
        <w:autoSpaceDE w:val="0"/>
        <w:autoSpaceDN w:val="0"/>
        <w:bidi w:val="0"/>
        <w:adjustRightInd w:val="0"/>
        <w:snapToGrid w:val="0"/>
        <w:spacing w:before="153" w:line="600" w:lineRule="exact"/>
        <w:ind w:left="45" w:firstLine="480"/>
        <w:textAlignment w:val="baseline"/>
        <w:rPr>
          <w:rFonts w:hint="eastAsia" w:ascii="Times New Roman" w:hAnsi="Times New Roman" w:eastAsia="仿宋_GB2312" w:cs="Times New Roman"/>
          <w:spacing w:val="-1"/>
          <w:sz w:val="32"/>
          <w:szCs w:val="32"/>
          <w:lang w:val="en-US" w:eastAsia="zh-CN"/>
        </w:rPr>
      </w:pPr>
      <w:r>
        <w:rPr>
          <w:rFonts w:hint="eastAsia" w:ascii="Times New Roman" w:hAnsi="Times New Roman" w:eastAsia="仿宋_GB2312" w:cs="Times New Roman"/>
          <w:spacing w:val="-1"/>
          <w:sz w:val="32"/>
          <w:szCs w:val="32"/>
          <w:lang w:val="en-US" w:eastAsia="zh-CN"/>
        </w:rPr>
        <w:t>（三）服务期：18个月；</w:t>
      </w:r>
    </w:p>
    <w:p>
      <w:pPr>
        <w:pStyle w:val="7"/>
        <w:keepNext w:val="0"/>
        <w:keepLines w:val="0"/>
        <w:pageBreakBefore w:val="0"/>
        <w:widowControl/>
        <w:kinsoku w:val="0"/>
        <w:wordWrap/>
        <w:overflowPunct/>
        <w:topLinePunct w:val="0"/>
        <w:autoSpaceDE w:val="0"/>
        <w:autoSpaceDN w:val="0"/>
        <w:bidi w:val="0"/>
        <w:adjustRightInd w:val="0"/>
        <w:snapToGrid w:val="0"/>
        <w:spacing w:before="153" w:line="600" w:lineRule="exact"/>
        <w:ind w:left="45" w:firstLine="480"/>
        <w:textAlignment w:val="baseline"/>
        <w:rPr>
          <w:rFonts w:hint="eastAsia" w:ascii="Times New Roman" w:hAnsi="Times New Roman" w:eastAsia="仿宋_GB2312" w:cs="Times New Roman"/>
          <w:spacing w:val="-1"/>
          <w:sz w:val="32"/>
          <w:szCs w:val="32"/>
          <w:lang w:val="en-US" w:eastAsia="zh-CN"/>
        </w:rPr>
      </w:pPr>
      <w:r>
        <w:rPr>
          <w:rFonts w:hint="eastAsia" w:ascii="Times New Roman" w:hAnsi="Times New Roman" w:eastAsia="仿宋_GB2312" w:cs="Times New Roman"/>
          <w:spacing w:val="-1"/>
          <w:sz w:val="32"/>
          <w:szCs w:val="32"/>
          <w:lang w:val="en-US" w:eastAsia="zh-CN"/>
        </w:rPr>
        <w:t>（四）服务地点：洛阳市区境内；</w:t>
      </w:r>
    </w:p>
    <w:p>
      <w:pPr>
        <w:pStyle w:val="7"/>
        <w:keepNext w:val="0"/>
        <w:keepLines w:val="0"/>
        <w:pageBreakBefore w:val="0"/>
        <w:widowControl/>
        <w:kinsoku w:val="0"/>
        <w:wordWrap/>
        <w:overflowPunct/>
        <w:topLinePunct w:val="0"/>
        <w:autoSpaceDE w:val="0"/>
        <w:autoSpaceDN w:val="0"/>
        <w:bidi w:val="0"/>
        <w:adjustRightInd w:val="0"/>
        <w:snapToGrid w:val="0"/>
        <w:spacing w:before="174" w:line="600" w:lineRule="exact"/>
        <w:ind w:left="613"/>
        <w:textAlignment w:val="baseline"/>
        <w:rPr>
          <w:rFonts w:hint="eastAsia" w:ascii="黑体" w:hAnsi="黑体" w:eastAsia="黑体" w:cs="黑体"/>
          <w:sz w:val="32"/>
          <w:szCs w:val="32"/>
          <w:lang w:val="en-US" w:eastAsia="zh-CN"/>
        </w:rPr>
      </w:pPr>
      <w:r>
        <w:rPr>
          <w:rFonts w:hint="eastAsia" w:ascii="黑体" w:hAnsi="黑体" w:eastAsia="黑体" w:cs="黑体"/>
          <w:spacing w:val="5"/>
          <w:sz w:val="32"/>
          <w:szCs w:val="32"/>
          <w14:textOutline w14:w="5170" w14:cap="flat" w14:cmpd="sng">
            <w14:solidFill>
              <w14:srgbClr w14:val="000000"/>
            </w14:solidFill>
            <w14:prstDash w14:val="solid"/>
            <w14:miter w14:val="0"/>
          </w14:textOutline>
        </w:rPr>
        <w:t>二、</w:t>
      </w:r>
      <w:r>
        <w:rPr>
          <w:rFonts w:hint="eastAsia" w:ascii="黑体" w:hAnsi="黑体" w:eastAsia="黑体" w:cs="黑体"/>
          <w:spacing w:val="5"/>
          <w:sz w:val="32"/>
          <w:szCs w:val="32"/>
          <w:lang w:val="en-US" w:eastAsia="zh-CN"/>
          <w14:textOutline w14:w="5170" w14:cap="flat" w14:cmpd="sng">
            <w14:solidFill>
              <w14:srgbClr w14:val="000000"/>
            </w14:solidFill>
            <w14:prstDash w14:val="solid"/>
            <w14:miter w14:val="0"/>
          </w14:textOutline>
        </w:rPr>
        <w:t>服务内容</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ind w:firstLine="318" w:firstLineChars="100"/>
        <w:textAlignment w:val="baseline"/>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（一）洛阳轨道交通控制中心</w:t>
      </w:r>
    </w:p>
    <w:p>
      <w:pPr>
        <w:pStyle w:val="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eastAsia="仿宋_GB2312" w:cs="Times New Roman"/>
          <w:snapToGrid w:val="0"/>
          <w:color w:val="000000"/>
          <w:spacing w:val="-1"/>
          <w:kern w:val="0"/>
          <w:sz w:val="32"/>
          <w:szCs w:val="32"/>
          <w:lang w:val="en-US" w:eastAsia="zh-CN" w:bidi="ar-SA"/>
        </w:rPr>
      </w:pPr>
      <w:r>
        <w:rPr>
          <w:rFonts w:hint="eastAsia" w:eastAsia="仿宋_GB2312" w:cs="Times New Roman"/>
          <w:snapToGrid w:val="0"/>
          <w:color w:val="000000"/>
          <w:spacing w:val="-1"/>
          <w:kern w:val="0"/>
          <w:sz w:val="32"/>
          <w:szCs w:val="32"/>
          <w:lang w:val="en-US" w:eastAsia="zh-CN" w:bidi="ar-SA"/>
        </w:rPr>
        <w:t>绿化养护点位见下图</w:t>
      </w:r>
    </w:p>
    <w:p>
      <w:pPr>
        <w:pStyle w:val="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eastAsia="仿宋_GB2312" w:cs="Times New Roman"/>
          <w:snapToGrid w:val="0"/>
          <w:color w:val="000000"/>
          <w:spacing w:val="-1"/>
          <w:kern w:val="0"/>
          <w:sz w:val="32"/>
          <w:szCs w:val="32"/>
          <w:lang w:val="en-US" w:eastAsia="zh-CN" w:bidi="ar-SA"/>
        </w:rPr>
      </w:pPr>
      <w:r>
        <w:rPr>
          <w:rFonts w:hint="default" w:eastAsia="仿宋_GB2312" w:cs="Times New Roman"/>
          <w:snapToGrid w:val="0"/>
          <w:color w:val="000000"/>
          <w:spacing w:val="-1"/>
          <w:kern w:val="0"/>
          <w:sz w:val="32"/>
          <w:szCs w:val="32"/>
          <w:lang w:val="en-US" w:eastAsia="zh-CN" w:bidi="ar-SA"/>
        </w:rPr>
        <w:drawing>
          <wp:inline distT="0" distB="0" distL="114300" distR="114300">
            <wp:extent cx="6403340" cy="3597910"/>
            <wp:effectExtent l="0" t="0" r="16510" b="2540"/>
            <wp:docPr id="1" name="图片 1" descr="d43d32be93fa55e7cd42ac68d0a35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43d32be93fa55e7cd42ac68d0a35f5"/>
                    <pic:cNvPicPr>
                      <a:picLocks noChangeAspect="1"/>
                    </pic:cNvPicPr>
                  </pic:nvPicPr>
                  <pic:blipFill>
                    <a:blip r:embed="rId5"/>
                    <a:stretch>
                      <a:fillRect/>
                    </a:stretch>
                  </pic:blipFill>
                  <pic:spPr>
                    <a:xfrm>
                      <a:off x="0" y="0"/>
                      <a:ext cx="6403340" cy="3597910"/>
                    </a:xfrm>
                    <a:prstGeom prst="rect">
                      <a:avLst/>
                    </a:prstGeom>
                  </pic:spPr>
                </pic:pic>
              </a:graphicData>
            </a:graphic>
          </wp:inline>
        </w:drawing>
      </w:r>
    </w:p>
    <w:p>
      <w:pPr>
        <w:pStyle w:val="2"/>
        <w:jc w:val="center"/>
        <w:rPr>
          <w:rFonts w:hint="eastAsia" w:eastAsia="仿宋_GB2312" w:cs="Times New Roman"/>
          <w:snapToGrid w:val="0"/>
          <w:color w:val="000000"/>
          <w:spacing w:val="-1"/>
          <w:kern w:val="0"/>
          <w:sz w:val="32"/>
          <w:szCs w:val="32"/>
          <w:lang w:val="en-US" w:eastAsia="zh-CN" w:bidi="ar-SA"/>
        </w:rPr>
      </w:pPr>
      <w:r>
        <w:rPr>
          <w:rFonts w:hint="eastAsia" w:eastAsia="仿宋_GB2312" w:cs="Times New Roman"/>
          <w:snapToGrid w:val="0"/>
          <w:color w:val="000000"/>
          <w:spacing w:val="-1"/>
          <w:kern w:val="0"/>
          <w:sz w:val="32"/>
          <w:szCs w:val="32"/>
          <w:lang w:val="en-US" w:eastAsia="zh-CN" w:bidi="ar-SA"/>
        </w:rPr>
        <w:t>图1 控制中心绿化养护点位图</w:t>
      </w:r>
    </w:p>
    <w:p>
      <w:pPr>
        <w:pStyle w:val="2"/>
        <w:jc w:val="center"/>
        <w:rPr>
          <w:rFonts w:hint="default" w:eastAsia="仿宋_GB2312" w:cs="Times New Roman"/>
          <w:snapToGrid w:val="0"/>
          <w:color w:val="000000"/>
          <w:spacing w:val="-1"/>
          <w:kern w:val="0"/>
          <w:sz w:val="32"/>
          <w:szCs w:val="32"/>
          <w:lang w:val="en-US" w:eastAsia="zh-CN" w:bidi="ar-SA"/>
        </w:rPr>
      </w:pPr>
    </w:p>
    <w:tbl>
      <w:tblPr>
        <w:tblStyle w:val="8"/>
        <w:tblW w:w="994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1"/>
        <w:gridCol w:w="2541"/>
        <w:gridCol w:w="915"/>
        <w:gridCol w:w="1365"/>
        <w:gridCol w:w="1533"/>
        <w:gridCol w:w="27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994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洛阳轨道交通控制中心绿化清单</w:t>
            </w:r>
            <w:r>
              <w:rPr>
                <w:rFonts w:hint="eastAsia" w:ascii="Times New Roman" w:hAnsi="Times New Roman" w:eastAsia="仿宋_GB2312" w:cs="Times New Roman"/>
                <w:snapToGrid w:val="0"/>
                <w:color w:val="000000"/>
                <w:spacing w:val="-1"/>
                <w:kern w:val="0"/>
                <w:sz w:val="32"/>
                <w:szCs w:val="32"/>
                <w:lang w:val="en-US" w:eastAsia="zh-CN" w:bidi="ar-SA"/>
              </w:rPr>
              <w:br w:type="textWrapping"/>
            </w:r>
            <w:r>
              <w:rPr>
                <w:rFonts w:hint="eastAsia" w:ascii="Times New Roman" w:hAnsi="Times New Roman" w:eastAsia="仿宋_GB2312" w:cs="Times New Roman"/>
                <w:snapToGrid w:val="0"/>
                <w:color w:val="000000"/>
                <w:spacing w:val="-1"/>
                <w:kern w:val="0"/>
                <w:sz w:val="32"/>
                <w:szCs w:val="32"/>
                <w:lang w:val="en-US" w:eastAsia="zh-CN" w:bidi="ar-SA"/>
              </w:rPr>
              <w:t>（洛阳轨道交通控制中心，洛龙区通衢路207号）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序号</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名称</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单位</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数量</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状态描述</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海棠</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株</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21</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2</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球形石楠</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株</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34</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灌木（绿篱）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3</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百日红</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株</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55</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4</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日本樱花</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株</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38</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5</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玉兰</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株</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13</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6</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银杏</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株</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28</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7</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香樟树</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株</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12</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8</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枇杷</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株</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11</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9</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桂花</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株</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44</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10</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小叶女贞</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676</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灌木（绿篱）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11</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蔷薇</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184</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灌木（绿篱）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12</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小月季</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株</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134</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灌木（绿篱）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13</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花叶青木</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50</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灌木（绿篱）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14</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牡丹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株</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184</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15</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大月季</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株</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10</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16</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法国梧桐</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株</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6</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17</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绿皮松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株</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20</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18</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柏树</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260</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灌木（绿篱（死亡5平方）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19</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黄杨</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495.5</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灌木（绿篱）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20</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石楠</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1517.5</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灌木（绿篱）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21</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景观树</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4</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22</w:t>
            </w:r>
          </w:p>
        </w:tc>
        <w:tc>
          <w:tcPr>
            <w:tcW w:w="2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橡皮树</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155</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成活</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snapToGrid w:val="0"/>
                <w:color w:val="000000"/>
                <w:spacing w:val="-1"/>
                <w:kern w:val="0"/>
                <w:sz w:val="32"/>
                <w:szCs w:val="32"/>
                <w:lang w:val="en-US" w:eastAsia="zh-CN" w:bidi="ar-SA"/>
              </w:rPr>
            </w:pPr>
            <w:r>
              <w:rPr>
                <w:rFonts w:hint="eastAsia" w:ascii="Times New Roman" w:hAnsi="Times New Roman" w:eastAsia="仿宋_GB2312" w:cs="Times New Roman"/>
                <w:snapToGrid w:val="0"/>
                <w:color w:val="000000"/>
                <w:spacing w:val="-1"/>
                <w:kern w:val="0"/>
                <w:sz w:val="32"/>
                <w:szCs w:val="32"/>
                <w:lang w:val="en-US" w:eastAsia="zh-CN" w:bidi="ar-SA"/>
              </w:rPr>
              <w:t>灌木（绿篱）</w:t>
            </w:r>
          </w:p>
        </w:tc>
      </w:tr>
    </w:tbl>
    <w:p>
      <w:pPr>
        <w:rPr>
          <w:rFonts w:hint="eastAsia" w:ascii="仿宋_GB2312" w:hAnsi="仿宋_GB2312" w:eastAsia="仿宋_GB2312" w:cs="仿宋_GB2312"/>
          <w:sz w:val="30"/>
          <w:szCs w:val="30"/>
        </w:rPr>
      </w:pPr>
    </w:p>
    <w:p>
      <w:pPr>
        <w:keepNext w:val="0"/>
        <w:keepLines w:val="0"/>
        <w:pageBreakBefore w:val="0"/>
        <w:widowControl/>
        <w:numPr>
          <w:ilvl w:val="0"/>
          <w:numId w:val="3"/>
        </w:numPr>
        <w:kinsoku w:val="0"/>
        <w:wordWrap/>
        <w:overflowPunct/>
        <w:topLinePunct w:val="0"/>
        <w:autoSpaceDE w:val="0"/>
        <w:autoSpaceDN w:val="0"/>
        <w:bidi w:val="0"/>
        <w:adjustRightInd w:val="0"/>
        <w:snapToGrid w:val="0"/>
        <w:spacing w:before="72" w:line="600" w:lineRule="exact"/>
        <w:ind w:firstLine="320" w:firstLineChars="100"/>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刘富村车辆段</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eastAsia="仿宋_GB2312" w:cs="Times New Roman"/>
          <w:snapToGrid w:val="0"/>
          <w:color w:val="000000"/>
          <w:spacing w:val="-1"/>
          <w:kern w:val="0"/>
          <w:sz w:val="32"/>
          <w:szCs w:val="32"/>
          <w:lang w:val="en-US" w:eastAsia="zh-CN" w:bidi="ar-SA"/>
        </w:rPr>
      </w:pPr>
      <w:r>
        <w:rPr>
          <w:rFonts w:hint="eastAsia" w:eastAsia="仿宋_GB2312" w:cs="Times New Roman"/>
          <w:snapToGrid w:val="0"/>
          <w:color w:val="000000"/>
          <w:spacing w:val="-1"/>
          <w:kern w:val="0"/>
          <w:sz w:val="32"/>
          <w:szCs w:val="32"/>
          <w:lang w:val="en-US" w:eastAsia="zh-CN" w:bidi="ar-SA"/>
        </w:rPr>
        <w:t>绿化养护点位及数量见下图、表</w:t>
      </w:r>
    </w:p>
    <w:p>
      <w:pPr>
        <w:pStyle w:val="2"/>
        <w:numPr>
          <w:ilvl w:val="0"/>
          <w:numId w:val="0"/>
        </w:numPr>
        <w:ind w:leftChars="200"/>
      </w:pPr>
      <w:r>
        <w:drawing>
          <wp:inline distT="0" distB="0" distL="114300" distR="114300">
            <wp:extent cx="5767705" cy="5242560"/>
            <wp:effectExtent l="0" t="0" r="4445"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5767705" cy="5242560"/>
                    </a:xfrm>
                    <a:prstGeom prst="rect">
                      <a:avLst/>
                    </a:prstGeom>
                    <a:noFill/>
                    <a:ln>
                      <a:noFill/>
                    </a:ln>
                  </pic:spPr>
                </pic:pic>
              </a:graphicData>
            </a:graphic>
          </wp:inline>
        </w:drawing>
      </w:r>
    </w:p>
    <w:p>
      <w:pPr>
        <w:pStyle w:val="2"/>
        <w:numPr>
          <w:ilvl w:val="0"/>
          <w:numId w:val="0"/>
        </w:numPr>
        <w:ind w:leftChars="200"/>
        <w:jc w:val="center"/>
        <w:rPr>
          <w:rFonts w:hint="eastAsia"/>
          <w:lang w:val="en-US" w:eastAsia="zh-CN"/>
        </w:rPr>
      </w:pPr>
      <w:r>
        <w:rPr>
          <w:rFonts w:hint="eastAsia"/>
          <w:lang w:val="en-US" w:eastAsia="zh-CN"/>
        </w:rPr>
        <w:t>图2-1刘富村综合南大厅前、东门岗主干道绿化养护点位图</w:t>
      </w:r>
    </w:p>
    <w:p>
      <w:pPr>
        <w:pStyle w:val="2"/>
        <w:numPr>
          <w:ilvl w:val="0"/>
          <w:numId w:val="0"/>
        </w:numPr>
        <w:ind w:leftChars="200"/>
        <w:jc w:val="center"/>
        <w:rPr>
          <w:rFonts w:hint="eastAsia"/>
          <w:lang w:val="en-US" w:eastAsia="zh-CN"/>
        </w:rPr>
      </w:pPr>
      <w:r>
        <w:rPr>
          <w:rFonts w:hint="eastAsia" w:ascii="仿宋" w:hAnsi="仿宋" w:eastAsia="仿宋" w:cs="仿宋"/>
          <w:kern w:val="2"/>
          <w:sz w:val="21"/>
          <w:szCs w:val="24"/>
          <w:lang w:val="en-US" w:eastAsia="zh-CN" w:bidi="ar-SA"/>
        </w:rPr>
        <w:drawing>
          <wp:inline distT="0" distB="0" distL="114300" distR="114300">
            <wp:extent cx="5396865" cy="3542665"/>
            <wp:effectExtent l="0" t="0" r="13335" b="635"/>
            <wp:docPr id="10" name="图片 10" descr="1-2刘富村运用库绿化养护面积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刘富村运用库绿化养护面积_"/>
                    <pic:cNvPicPr>
                      <a:picLocks noChangeAspect="1"/>
                    </pic:cNvPicPr>
                  </pic:nvPicPr>
                  <pic:blipFill>
                    <a:blip r:embed="rId7"/>
                    <a:stretch>
                      <a:fillRect/>
                    </a:stretch>
                  </pic:blipFill>
                  <pic:spPr>
                    <a:xfrm>
                      <a:off x="0" y="0"/>
                      <a:ext cx="5396865" cy="3542665"/>
                    </a:xfrm>
                    <a:prstGeom prst="rect">
                      <a:avLst/>
                    </a:prstGeom>
                  </pic:spPr>
                </pic:pic>
              </a:graphicData>
            </a:graphic>
          </wp:inline>
        </w:drawing>
      </w:r>
    </w:p>
    <w:p>
      <w:pPr>
        <w:pStyle w:val="2"/>
        <w:numPr>
          <w:ilvl w:val="0"/>
          <w:numId w:val="0"/>
        </w:numPr>
        <w:ind w:leftChars="200"/>
        <w:jc w:val="center"/>
        <w:rPr>
          <w:rFonts w:hint="eastAsia"/>
          <w:lang w:val="en-US" w:eastAsia="zh-CN"/>
        </w:rPr>
      </w:pPr>
      <w:r>
        <w:rPr>
          <w:rFonts w:hint="eastAsia"/>
          <w:lang w:val="en-US" w:eastAsia="zh-CN"/>
        </w:rPr>
        <w:t>图2-2刘富村运用库绿化养护点位图</w:t>
      </w:r>
    </w:p>
    <w:p>
      <w:pPr>
        <w:pStyle w:val="2"/>
        <w:numPr>
          <w:ilvl w:val="0"/>
          <w:numId w:val="0"/>
        </w:numPr>
        <w:ind w:leftChars="200"/>
        <w:jc w:val="center"/>
        <w:rPr>
          <w:rFonts w:hint="eastAsia"/>
          <w:lang w:val="en-US" w:eastAsia="zh-CN"/>
        </w:rPr>
      </w:pPr>
      <w:r>
        <w:rPr>
          <w:rFonts w:hint="eastAsia" w:ascii="仿宋" w:hAnsi="仿宋" w:eastAsia="仿宋" w:cs="仿宋"/>
          <w:kern w:val="2"/>
          <w:sz w:val="21"/>
          <w:szCs w:val="24"/>
          <w:lang w:val="en-US" w:eastAsia="zh-CN" w:bidi="ar-SA"/>
        </w:rPr>
        <w:drawing>
          <wp:inline distT="0" distB="0" distL="114300" distR="114300">
            <wp:extent cx="5093335" cy="3472815"/>
            <wp:effectExtent l="0" t="0" r="12065" b="13335"/>
            <wp:docPr id="12" name="图片 12" descr="1-3刘富村主电所、物资库维修库绿化养护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3刘富村主电所、物资库维修库绿化养护点图"/>
                    <pic:cNvPicPr>
                      <a:picLocks noChangeAspect="1"/>
                    </pic:cNvPicPr>
                  </pic:nvPicPr>
                  <pic:blipFill>
                    <a:blip r:embed="rId8"/>
                    <a:stretch>
                      <a:fillRect/>
                    </a:stretch>
                  </pic:blipFill>
                  <pic:spPr>
                    <a:xfrm>
                      <a:off x="0" y="0"/>
                      <a:ext cx="5093335" cy="3472815"/>
                    </a:xfrm>
                    <a:prstGeom prst="rect">
                      <a:avLst/>
                    </a:prstGeom>
                  </pic:spPr>
                </pic:pic>
              </a:graphicData>
            </a:graphic>
          </wp:inline>
        </w:drawing>
      </w:r>
    </w:p>
    <w:p>
      <w:pPr>
        <w:pStyle w:val="2"/>
        <w:numPr>
          <w:ilvl w:val="0"/>
          <w:numId w:val="0"/>
        </w:numPr>
        <w:ind w:leftChars="200"/>
        <w:jc w:val="center"/>
        <w:rPr>
          <w:rFonts w:hint="default"/>
          <w:lang w:val="en-US" w:eastAsia="zh-CN"/>
        </w:rPr>
      </w:pPr>
      <w:r>
        <w:rPr>
          <w:rFonts w:hint="eastAsia"/>
          <w:lang w:val="en-US" w:eastAsia="zh-CN"/>
        </w:rPr>
        <w:t>图2-3刘富村主电所、物资库维修库绿化养护点位图</w:t>
      </w:r>
    </w:p>
    <w:p>
      <w:pPr>
        <w:pStyle w:val="2"/>
        <w:numPr>
          <w:ilvl w:val="0"/>
          <w:numId w:val="0"/>
        </w:numPr>
        <w:ind w:leftChars="200"/>
        <w:rPr>
          <w:rFonts w:hint="eastAsia"/>
          <w:lang w:val="en-US" w:eastAsia="zh-CN"/>
        </w:rPr>
      </w:pPr>
      <w:r>
        <w:rPr>
          <w:rFonts w:hint="eastAsia" w:ascii="仿宋" w:hAnsi="仿宋" w:eastAsia="仿宋" w:cs="仿宋"/>
          <w:kern w:val="2"/>
          <w:sz w:val="21"/>
          <w:szCs w:val="24"/>
          <w:lang w:val="en-US" w:eastAsia="zh-CN" w:bidi="ar-SA"/>
        </w:rPr>
        <w:drawing>
          <wp:inline distT="0" distB="0" distL="114300" distR="114300">
            <wp:extent cx="5753100" cy="1797050"/>
            <wp:effectExtent l="0" t="0" r="0" b="12700"/>
            <wp:docPr id="19" name="图片 19" descr="1-5刘富村牵混所、洗车库绿化养护点位图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刘富村牵混所、洗车库绿化养护点位图_"/>
                    <pic:cNvPicPr>
                      <a:picLocks noChangeAspect="1"/>
                    </pic:cNvPicPr>
                  </pic:nvPicPr>
                  <pic:blipFill>
                    <a:blip r:embed="rId9"/>
                    <a:stretch>
                      <a:fillRect/>
                    </a:stretch>
                  </pic:blipFill>
                  <pic:spPr>
                    <a:xfrm>
                      <a:off x="0" y="0"/>
                      <a:ext cx="5753100" cy="1797050"/>
                    </a:xfrm>
                    <a:prstGeom prst="rect">
                      <a:avLst/>
                    </a:prstGeom>
                  </pic:spPr>
                </pic:pic>
              </a:graphicData>
            </a:graphic>
          </wp:inline>
        </w:drawing>
      </w:r>
    </w:p>
    <w:p>
      <w:pPr>
        <w:pStyle w:val="2"/>
        <w:numPr>
          <w:ilvl w:val="0"/>
          <w:numId w:val="0"/>
        </w:numPr>
        <w:ind w:leftChars="200"/>
        <w:jc w:val="center"/>
        <w:rPr>
          <w:rFonts w:hint="eastAsia"/>
          <w:lang w:val="en-US" w:eastAsia="zh-CN"/>
        </w:rPr>
      </w:pPr>
      <w:r>
        <w:rPr>
          <w:rFonts w:hint="eastAsia"/>
          <w:lang w:val="en-US" w:eastAsia="zh-CN"/>
        </w:rPr>
        <w:t>图2-4刘富村牵混所、洗车库绿化养护点位图</w:t>
      </w:r>
    </w:p>
    <w:p>
      <w:pPr>
        <w:pStyle w:val="2"/>
        <w:numPr>
          <w:ilvl w:val="0"/>
          <w:numId w:val="0"/>
        </w:numPr>
        <w:ind w:leftChars="200"/>
        <w:jc w:val="center"/>
        <w:rPr>
          <w:rFonts w:hint="eastAsia"/>
          <w:lang w:val="en-US" w:eastAsia="zh-CN"/>
        </w:rPr>
      </w:pPr>
      <w:r>
        <w:rPr>
          <w:rFonts w:hint="eastAsia" w:ascii="仿宋" w:hAnsi="仿宋" w:eastAsia="仿宋" w:cs="仿宋"/>
          <w:kern w:val="2"/>
          <w:sz w:val="21"/>
          <w:szCs w:val="24"/>
          <w:lang w:val="en-US" w:eastAsia="zh-CN" w:bidi="ar-SA"/>
        </w:rPr>
        <w:drawing>
          <wp:inline distT="0" distB="0" distL="114300" distR="114300">
            <wp:extent cx="5848350" cy="1899285"/>
            <wp:effectExtent l="0" t="0" r="0" b="5715"/>
            <wp:docPr id="20" name="图片 20" descr="1-4刘富村试车线绿化养护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4刘富村试车线绿化养护点图"/>
                    <pic:cNvPicPr>
                      <a:picLocks noChangeAspect="1"/>
                    </pic:cNvPicPr>
                  </pic:nvPicPr>
                  <pic:blipFill>
                    <a:blip r:embed="rId10"/>
                    <a:stretch>
                      <a:fillRect/>
                    </a:stretch>
                  </pic:blipFill>
                  <pic:spPr>
                    <a:xfrm>
                      <a:off x="0" y="0"/>
                      <a:ext cx="5848350" cy="1899285"/>
                    </a:xfrm>
                    <a:prstGeom prst="rect">
                      <a:avLst/>
                    </a:prstGeom>
                  </pic:spPr>
                </pic:pic>
              </a:graphicData>
            </a:graphic>
          </wp:inline>
        </w:drawing>
      </w:r>
      <w:r>
        <w:rPr>
          <w:rFonts w:hint="eastAsia"/>
          <w:lang w:val="en-US" w:eastAsia="zh-CN"/>
        </w:rPr>
        <w:t>图2-5刘富村试车线绿化养护点位图</w:t>
      </w:r>
    </w:p>
    <w:p>
      <w:pPr>
        <w:pStyle w:val="2"/>
        <w:numPr>
          <w:ilvl w:val="0"/>
          <w:numId w:val="0"/>
        </w:numPr>
        <w:ind w:leftChars="200"/>
        <w:jc w:val="center"/>
        <w:rPr>
          <w:rFonts w:hint="eastAsia"/>
          <w:lang w:val="en-US" w:eastAsia="zh-CN"/>
        </w:rPr>
      </w:pPr>
    </w:p>
    <w:tbl>
      <w:tblPr>
        <w:tblStyle w:val="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2625"/>
        <w:gridCol w:w="856"/>
        <w:gridCol w:w="1416"/>
        <w:gridCol w:w="1496"/>
        <w:gridCol w:w="26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48"/>
                <w:szCs w:val="48"/>
                <w:u w:val="none"/>
              </w:rPr>
            </w:pPr>
            <w:r>
              <w:rPr>
                <w:rFonts w:hint="eastAsia" w:ascii="仿宋_GB2312" w:hAnsi="仿宋_GB2312" w:eastAsia="仿宋_GB2312" w:cs="仿宋_GB2312"/>
                <w:i w:val="0"/>
                <w:iCs w:val="0"/>
                <w:snapToGrid w:val="0"/>
                <w:color w:val="000000"/>
                <w:kern w:val="0"/>
                <w:sz w:val="32"/>
                <w:szCs w:val="32"/>
                <w:u w:val="none"/>
                <w:lang w:val="en-US" w:eastAsia="zh-CN" w:bidi="ar"/>
              </w:rPr>
              <w:t>刘富村车辆段绿化清单</w:t>
            </w:r>
            <w:r>
              <w:rPr>
                <w:rFonts w:hint="eastAsia" w:ascii="仿宋_GB2312" w:hAnsi="仿宋_GB2312" w:eastAsia="仿宋_GB2312" w:cs="仿宋_GB2312"/>
                <w:i w:val="0"/>
                <w:iCs w:val="0"/>
                <w:snapToGrid w:val="0"/>
                <w:color w:val="000000"/>
                <w:kern w:val="0"/>
                <w:sz w:val="32"/>
                <w:szCs w:val="32"/>
                <w:u w:val="none"/>
                <w:lang w:val="en-US" w:eastAsia="zh-CN" w:bidi="ar"/>
              </w:rPr>
              <w:br w:type="textWrapping"/>
            </w:r>
            <w:r>
              <w:rPr>
                <w:rFonts w:hint="eastAsia" w:ascii="仿宋_GB2312" w:hAnsi="仿宋_GB2312" w:eastAsia="仿宋_GB2312" w:cs="仿宋_GB2312"/>
                <w:i w:val="0"/>
                <w:iCs w:val="0"/>
                <w:snapToGrid w:val="0"/>
                <w:color w:val="000000"/>
                <w:kern w:val="0"/>
                <w:sz w:val="32"/>
                <w:szCs w:val="32"/>
                <w:u w:val="none"/>
                <w:lang w:val="en-US" w:eastAsia="zh-CN" w:bidi="ar"/>
              </w:rPr>
              <w:t>（洛阳轨道刘富村车辆基地，洛龙区三川大道与伊洛东路交叉路口）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32"/>
                <w:szCs w:val="32"/>
                <w:u w:val="none"/>
                <w:lang w:val="en-US" w:eastAsia="zh-CN" w:bidi="ar"/>
              </w:rPr>
            </w:pPr>
            <w:r>
              <w:rPr>
                <w:rFonts w:hint="eastAsia" w:ascii="仿宋_GB2312" w:hAnsi="仿宋_GB2312" w:eastAsia="仿宋_GB2312" w:cs="仿宋_GB2312"/>
                <w:i w:val="0"/>
                <w:iCs w:val="0"/>
                <w:snapToGrid w:val="0"/>
                <w:color w:val="000000"/>
                <w:kern w:val="0"/>
                <w:sz w:val="32"/>
                <w:szCs w:val="3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32"/>
                <w:szCs w:val="32"/>
                <w:u w:val="none"/>
                <w:lang w:val="en-US" w:eastAsia="zh-CN" w:bidi="ar"/>
              </w:rPr>
            </w:pPr>
            <w:r>
              <w:rPr>
                <w:rFonts w:hint="eastAsia" w:ascii="仿宋_GB2312" w:hAnsi="仿宋_GB2312" w:eastAsia="仿宋_GB2312" w:cs="仿宋_GB2312"/>
                <w:i w:val="0"/>
                <w:iCs w:val="0"/>
                <w:snapToGrid w:val="0"/>
                <w:color w:val="000000"/>
                <w:kern w:val="0"/>
                <w:sz w:val="32"/>
                <w:szCs w:val="32"/>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32"/>
                <w:szCs w:val="32"/>
                <w:u w:val="none"/>
                <w:lang w:val="en-US" w:eastAsia="zh-CN" w:bidi="ar"/>
              </w:rPr>
            </w:pPr>
            <w:r>
              <w:rPr>
                <w:rFonts w:hint="eastAsia" w:ascii="仿宋_GB2312" w:hAnsi="仿宋_GB2312" w:eastAsia="仿宋_GB2312" w:cs="仿宋_GB2312"/>
                <w:i w:val="0"/>
                <w:iCs w:val="0"/>
                <w:snapToGrid w:val="0"/>
                <w:color w:val="000000"/>
                <w:kern w:val="0"/>
                <w:sz w:val="32"/>
                <w:szCs w:val="32"/>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32"/>
                <w:szCs w:val="32"/>
                <w:u w:val="none"/>
                <w:lang w:val="en-US" w:eastAsia="zh-CN" w:bidi="ar"/>
              </w:rPr>
            </w:pPr>
            <w:r>
              <w:rPr>
                <w:rFonts w:hint="eastAsia" w:ascii="仿宋_GB2312" w:hAnsi="仿宋_GB2312" w:eastAsia="仿宋_GB2312" w:cs="仿宋_GB2312"/>
                <w:i w:val="0"/>
                <w:iCs w:val="0"/>
                <w:snapToGrid w:val="0"/>
                <w:color w:val="000000"/>
                <w:kern w:val="0"/>
                <w:sz w:val="32"/>
                <w:szCs w:val="3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32"/>
                <w:szCs w:val="32"/>
                <w:u w:val="none"/>
                <w:lang w:val="en-US" w:eastAsia="zh-CN" w:bidi="ar"/>
              </w:rPr>
            </w:pPr>
            <w:r>
              <w:rPr>
                <w:rFonts w:hint="eastAsia" w:ascii="仿宋_GB2312" w:hAnsi="仿宋_GB2312" w:eastAsia="仿宋_GB2312" w:cs="仿宋_GB2312"/>
                <w:i w:val="0"/>
                <w:iCs w:val="0"/>
                <w:snapToGrid w:val="0"/>
                <w:color w:val="000000"/>
                <w:kern w:val="0"/>
                <w:sz w:val="32"/>
                <w:szCs w:val="32"/>
                <w:u w:val="none"/>
                <w:lang w:val="en-US" w:eastAsia="zh-CN" w:bidi="ar"/>
              </w:rPr>
              <w:t>状态描述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32"/>
                <w:szCs w:val="32"/>
                <w:u w:val="none"/>
                <w:lang w:val="en-US" w:eastAsia="zh-CN" w:bidi="ar"/>
              </w:rPr>
            </w:pPr>
            <w:r>
              <w:rPr>
                <w:rFonts w:hint="eastAsia" w:ascii="仿宋_GB2312" w:hAnsi="仿宋_GB2312" w:eastAsia="仿宋_GB2312" w:cs="仿宋_GB2312"/>
                <w:i w:val="0"/>
                <w:iCs w:val="0"/>
                <w:snapToGrid w:val="0"/>
                <w:color w:val="000000"/>
                <w:kern w:val="0"/>
                <w:sz w:val="32"/>
                <w:szCs w:val="3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32"/>
                <w:szCs w:val="32"/>
                <w:u w:val="none"/>
                <w:lang w:val="en-US" w:eastAsia="zh-CN" w:bidi="ar"/>
              </w:rPr>
            </w:pPr>
            <w:r>
              <w:rPr>
                <w:rFonts w:hint="eastAsia" w:ascii="仿宋_GB2312" w:hAnsi="仿宋_GB2312" w:eastAsia="仿宋_GB2312" w:cs="仿宋_GB2312"/>
                <w:i w:val="0"/>
                <w:iCs w:val="0"/>
                <w:snapToGrid w:val="0"/>
                <w:color w:val="000000"/>
                <w:kern w:val="0"/>
                <w:sz w:val="32"/>
                <w:szCs w:val="32"/>
                <w:u w:val="none"/>
                <w:lang w:val="en-US" w:eastAsia="zh-CN" w:bidi="ar"/>
              </w:rPr>
              <w:t>一</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32"/>
                <w:szCs w:val="32"/>
                <w:u w:val="none"/>
                <w:lang w:val="en-US" w:eastAsia="zh-CN" w:bidi="ar"/>
              </w:rPr>
            </w:pPr>
            <w:r>
              <w:rPr>
                <w:rFonts w:hint="eastAsia" w:ascii="仿宋_GB2312" w:hAnsi="仿宋_GB2312" w:eastAsia="仿宋_GB2312" w:cs="仿宋_GB2312"/>
                <w:i w:val="0"/>
                <w:iCs w:val="0"/>
                <w:snapToGrid w:val="0"/>
                <w:color w:val="000000"/>
                <w:kern w:val="0"/>
                <w:sz w:val="32"/>
                <w:szCs w:val="32"/>
                <w:u w:val="none"/>
                <w:lang w:val="en-US" w:eastAsia="zh-CN" w:bidi="ar"/>
              </w:rPr>
              <w:t>园区内绿化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速生梧栀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银杏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从生朴树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栾树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千头椿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广玉兰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白皮松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雪松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829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云杉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大叶女贞</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桂花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中华石楠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山杏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日本晚樱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鸡爪槭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丛生花石榴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海棠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紫叶李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丛生紫荆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结香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金森女贞</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448.43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大叶黄杨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1030.09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小叶黄杨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3606.89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金边黄杨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665.01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红叶石楠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1494.15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红瑞木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313.11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连翘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54.25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八角金盘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173.67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刚竹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99.54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大叶黄杨球1(E)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大叶黄杨球2(E2)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金森女贞球(L)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红花继木球(B）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红叶石楠球(H)</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南天竹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海桐球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草坪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55248.61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喷播植草(灌木)籽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配套用房种植屋面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鸡爪槭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小叶黄杨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洛阳红牡丹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栽植花卉</w:t>
            </w:r>
          </w:p>
        </w:tc>
      </w:tr>
    </w:tbl>
    <w:p>
      <w:pPr>
        <w:numPr>
          <w:ilvl w:val="0"/>
          <w:numId w:val="0"/>
        </w:numPr>
        <w:kinsoku w:val="0"/>
        <w:autoSpaceDE w:val="0"/>
        <w:autoSpaceDN w:val="0"/>
        <w:adjustRightInd w:val="0"/>
        <w:snapToGrid w:val="0"/>
        <w:spacing w:line="240" w:lineRule="auto"/>
        <w:jc w:val="left"/>
        <w:textAlignment w:val="baseline"/>
        <w:rPr>
          <w:rFonts w:hint="default" w:ascii="仿宋_GB2312" w:hAnsi="仿宋_GB2312" w:eastAsia="仿宋_GB2312" w:cs="仿宋_GB2312"/>
          <w:sz w:val="30"/>
          <w:szCs w:val="30"/>
          <w:lang w:val="en-US" w:eastAsia="zh-CN"/>
        </w:rPr>
      </w:pPr>
    </w:p>
    <w:p>
      <w:pPr>
        <w:numPr>
          <w:ilvl w:val="0"/>
          <w:numId w:val="3"/>
        </w:numPr>
        <w:spacing w:before="72"/>
        <w:ind w:left="0" w:leftChars="0" w:firstLine="320" w:firstLineChars="1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红山车辆段</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eastAsia="仿宋_GB2312" w:cs="Times New Roman"/>
          <w:snapToGrid w:val="0"/>
          <w:color w:val="000000"/>
          <w:spacing w:val="-1"/>
          <w:kern w:val="0"/>
          <w:sz w:val="32"/>
          <w:szCs w:val="32"/>
          <w:lang w:val="en-US" w:eastAsia="zh-CN" w:bidi="ar-SA"/>
        </w:rPr>
      </w:pPr>
      <w:r>
        <w:rPr>
          <w:rFonts w:hint="eastAsia" w:eastAsia="仿宋_GB2312" w:cs="Times New Roman"/>
          <w:snapToGrid w:val="0"/>
          <w:color w:val="000000"/>
          <w:spacing w:val="-1"/>
          <w:kern w:val="0"/>
          <w:sz w:val="32"/>
          <w:szCs w:val="32"/>
          <w:lang w:val="en-US" w:eastAsia="zh-CN" w:bidi="ar-SA"/>
        </w:rPr>
        <w:t>绿化养护点位及数量见下图、表</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ind w:leftChars="100"/>
        <w:textAlignment w:val="baseline"/>
      </w:pPr>
      <w:r>
        <w:drawing>
          <wp:inline distT="0" distB="0" distL="114300" distR="114300">
            <wp:extent cx="6019165" cy="4244340"/>
            <wp:effectExtent l="0" t="0" r="635"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6019165" cy="4244340"/>
                    </a:xfrm>
                    <a:prstGeom prst="rect">
                      <a:avLst/>
                    </a:prstGeom>
                    <a:noFill/>
                    <a:ln>
                      <a:noFill/>
                    </a:ln>
                  </pic:spPr>
                </pic:pic>
              </a:graphicData>
            </a:graphic>
          </wp:inline>
        </w:drawing>
      </w:r>
    </w:p>
    <w:p>
      <w:pPr>
        <w:pStyle w:val="2"/>
        <w:numPr>
          <w:ilvl w:val="0"/>
          <w:numId w:val="0"/>
        </w:numPr>
        <w:ind w:leftChars="100"/>
        <w:jc w:val="center"/>
      </w:pPr>
      <w:r>
        <w:rPr>
          <w:rFonts w:hint="eastAsia"/>
          <w:lang w:val="en-US" w:eastAsia="zh-CN"/>
        </w:rPr>
        <w:t>图3-1红山运用库</w:t>
      </w:r>
      <w:r>
        <w:rPr>
          <w:rFonts w:hint="eastAsia" w:eastAsia="仿宋_GB2312" w:cs="Times New Roman"/>
          <w:snapToGrid w:val="0"/>
          <w:color w:val="000000"/>
          <w:spacing w:val="-1"/>
          <w:kern w:val="0"/>
          <w:sz w:val="32"/>
          <w:szCs w:val="32"/>
          <w:lang w:val="en-US" w:eastAsia="zh-CN" w:bidi="ar-SA"/>
        </w:rPr>
        <w:t>绿化养护点位图</w:t>
      </w:r>
      <w:r>
        <w:drawing>
          <wp:inline distT="0" distB="0" distL="114300" distR="114300">
            <wp:extent cx="5996305" cy="4338955"/>
            <wp:effectExtent l="0" t="0" r="4445" b="444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996305" cy="4338955"/>
                    </a:xfrm>
                    <a:prstGeom prst="rect">
                      <a:avLst/>
                    </a:prstGeom>
                    <a:noFill/>
                    <a:ln>
                      <a:noFill/>
                    </a:ln>
                  </pic:spPr>
                </pic:pic>
              </a:graphicData>
            </a:graphic>
          </wp:inline>
        </w:drawing>
      </w:r>
    </w:p>
    <w:p>
      <w:pPr>
        <w:pStyle w:val="2"/>
        <w:numPr>
          <w:ilvl w:val="0"/>
          <w:numId w:val="0"/>
        </w:numPr>
        <w:ind w:leftChars="100"/>
        <w:jc w:val="center"/>
        <w:rPr>
          <w:rFonts w:hint="eastAsia"/>
          <w:lang w:val="en-US" w:eastAsia="zh-CN"/>
        </w:rPr>
      </w:pPr>
      <w:r>
        <w:rPr>
          <w:rFonts w:hint="eastAsia"/>
          <w:lang w:val="en-US" w:eastAsia="zh-CN"/>
        </w:rPr>
        <w:t>图3-2红山综合楼</w:t>
      </w:r>
      <w:r>
        <w:rPr>
          <w:rFonts w:hint="eastAsia" w:eastAsia="仿宋_GB2312" w:cs="Times New Roman"/>
          <w:snapToGrid w:val="0"/>
          <w:color w:val="000000"/>
          <w:spacing w:val="-1"/>
          <w:kern w:val="0"/>
          <w:sz w:val="32"/>
          <w:szCs w:val="32"/>
          <w:lang w:val="en-US" w:eastAsia="zh-CN" w:bidi="ar-SA"/>
        </w:rPr>
        <w:t>绿化养护点位图</w:t>
      </w:r>
    </w:p>
    <w:p>
      <w:pPr>
        <w:pStyle w:val="2"/>
        <w:numPr>
          <w:ilvl w:val="0"/>
          <w:numId w:val="0"/>
        </w:numPr>
        <w:ind w:leftChars="100"/>
        <w:rPr>
          <w:rFonts w:hint="eastAsia"/>
          <w:lang w:val="en-US" w:eastAsia="zh-CN"/>
        </w:rPr>
      </w:pPr>
    </w:p>
    <w:tbl>
      <w:tblPr>
        <w:tblStyle w:val="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9"/>
        <w:gridCol w:w="2520"/>
        <w:gridCol w:w="885"/>
        <w:gridCol w:w="1410"/>
        <w:gridCol w:w="1485"/>
        <w:gridCol w:w="27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94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48"/>
                <w:szCs w:val="48"/>
                <w:u w:val="none"/>
              </w:rPr>
            </w:pPr>
            <w:r>
              <w:rPr>
                <w:rFonts w:hint="eastAsia" w:ascii="仿宋_GB2312" w:hAnsi="仿宋_GB2312" w:eastAsia="仿宋_GB2312" w:cs="仿宋_GB2312"/>
                <w:i w:val="0"/>
                <w:iCs w:val="0"/>
                <w:snapToGrid w:val="0"/>
                <w:color w:val="000000"/>
                <w:kern w:val="0"/>
                <w:sz w:val="32"/>
                <w:szCs w:val="32"/>
                <w:u w:val="none"/>
                <w:lang w:val="en-US" w:eastAsia="zh-CN" w:bidi="ar"/>
              </w:rPr>
              <w:t>红山车辆段绿化清单</w:t>
            </w:r>
            <w:r>
              <w:rPr>
                <w:rFonts w:hint="eastAsia" w:ascii="仿宋_GB2312" w:hAnsi="仿宋_GB2312" w:eastAsia="仿宋_GB2312" w:cs="仿宋_GB2312"/>
                <w:i w:val="0"/>
                <w:iCs w:val="0"/>
                <w:snapToGrid w:val="0"/>
                <w:color w:val="000000"/>
                <w:kern w:val="0"/>
                <w:sz w:val="32"/>
                <w:szCs w:val="32"/>
                <w:u w:val="none"/>
                <w:lang w:val="en-US" w:eastAsia="zh-CN" w:bidi="ar"/>
              </w:rPr>
              <w:br w:type="textWrapping"/>
            </w:r>
            <w:r>
              <w:rPr>
                <w:rFonts w:hint="eastAsia" w:ascii="仿宋_GB2312" w:hAnsi="仿宋_GB2312" w:eastAsia="仿宋_GB2312" w:cs="仿宋_GB2312"/>
                <w:i w:val="0"/>
                <w:iCs w:val="0"/>
                <w:snapToGrid w:val="0"/>
                <w:color w:val="000000"/>
                <w:kern w:val="0"/>
                <w:sz w:val="32"/>
                <w:szCs w:val="32"/>
                <w:u w:val="none"/>
                <w:lang w:val="en-US" w:eastAsia="zh-CN" w:bidi="ar"/>
              </w:rPr>
              <w:t>（河南省洛阳市西工区瀍涧大道）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32"/>
                <w:szCs w:val="32"/>
                <w:u w:val="none"/>
                <w:lang w:val="en-US" w:eastAsia="zh-CN" w:bidi="ar"/>
              </w:rPr>
            </w:pPr>
            <w:r>
              <w:rPr>
                <w:rFonts w:hint="eastAsia" w:ascii="仿宋_GB2312" w:hAnsi="仿宋_GB2312" w:eastAsia="仿宋_GB2312" w:cs="仿宋_GB2312"/>
                <w:i w:val="0"/>
                <w:iCs w:val="0"/>
                <w:snapToGrid w:val="0"/>
                <w:color w:val="000000"/>
                <w:kern w:val="0"/>
                <w:sz w:val="32"/>
                <w:szCs w:val="32"/>
                <w:u w:val="none"/>
                <w:lang w:val="en-US" w:eastAsia="zh-CN" w:bidi="ar"/>
              </w:rPr>
              <w:t>序号</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32"/>
                <w:szCs w:val="32"/>
                <w:u w:val="none"/>
                <w:lang w:val="en-US" w:eastAsia="zh-CN" w:bidi="ar"/>
              </w:rPr>
            </w:pPr>
            <w:r>
              <w:rPr>
                <w:rFonts w:hint="eastAsia" w:ascii="仿宋_GB2312" w:hAnsi="仿宋_GB2312" w:eastAsia="仿宋_GB2312" w:cs="仿宋_GB2312"/>
                <w:i w:val="0"/>
                <w:iCs w:val="0"/>
                <w:snapToGrid w:val="0"/>
                <w:color w:val="000000"/>
                <w:kern w:val="0"/>
                <w:sz w:val="32"/>
                <w:szCs w:val="32"/>
                <w:u w:val="none"/>
                <w:lang w:val="en-US" w:eastAsia="zh-CN" w:bidi="ar"/>
              </w:rPr>
              <w:t>名称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32"/>
                <w:szCs w:val="32"/>
                <w:u w:val="none"/>
                <w:lang w:val="en-US" w:eastAsia="zh-CN" w:bidi="ar"/>
              </w:rPr>
            </w:pPr>
            <w:r>
              <w:rPr>
                <w:rFonts w:hint="eastAsia" w:ascii="仿宋_GB2312" w:hAnsi="仿宋_GB2312" w:eastAsia="仿宋_GB2312" w:cs="仿宋_GB2312"/>
                <w:i w:val="0"/>
                <w:iCs w:val="0"/>
                <w:snapToGrid w:val="0"/>
                <w:color w:val="000000"/>
                <w:kern w:val="0"/>
                <w:sz w:val="32"/>
                <w:szCs w:val="32"/>
                <w:u w:val="none"/>
                <w:lang w:val="en-US" w:eastAsia="zh-CN" w:bidi="ar"/>
              </w:rPr>
              <w:t>单位</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32"/>
                <w:szCs w:val="32"/>
                <w:u w:val="none"/>
                <w:lang w:val="en-US" w:eastAsia="zh-CN" w:bidi="ar"/>
              </w:rPr>
            </w:pPr>
            <w:r>
              <w:rPr>
                <w:rFonts w:hint="eastAsia" w:ascii="仿宋_GB2312" w:hAnsi="仿宋_GB2312" w:eastAsia="仿宋_GB2312" w:cs="仿宋_GB2312"/>
                <w:i w:val="0"/>
                <w:iCs w:val="0"/>
                <w:snapToGrid w:val="0"/>
                <w:color w:val="000000"/>
                <w:kern w:val="0"/>
                <w:sz w:val="32"/>
                <w:szCs w:val="32"/>
                <w:u w:val="none"/>
                <w:lang w:val="en-US" w:eastAsia="zh-CN" w:bidi="ar"/>
              </w:rPr>
              <w:t>数量</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32"/>
                <w:szCs w:val="32"/>
                <w:u w:val="none"/>
                <w:lang w:val="en-US" w:eastAsia="zh-CN" w:bidi="ar"/>
              </w:rPr>
            </w:pPr>
            <w:r>
              <w:rPr>
                <w:rFonts w:hint="eastAsia" w:ascii="仿宋_GB2312" w:hAnsi="仿宋_GB2312" w:eastAsia="仿宋_GB2312" w:cs="仿宋_GB2312"/>
                <w:i w:val="0"/>
                <w:iCs w:val="0"/>
                <w:snapToGrid w:val="0"/>
                <w:color w:val="000000"/>
                <w:kern w:val="0"/>
                <w:sz w:val="32"/>
                <w:szCs w:val="32"/>
                <w:u w:val="none"/>
                <w:lang w:val="en-US" w:eastAsia="zh-CN" w:bidi="ar"/>
              </w:rPr>
              <w:t>状态描述</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32"/>
                <w:szCs w:val="32"/>
                <w:u w:val="none"/>
                <w:lang w:val="en-US" w:eastAsia="zh-CN" w:bidi="ar"/>
              </w:rPr>
            </w:pPr>
            <w:r>
              <w:rPr>
                <w:rFonts w:hint="eastAsia" w:ascii="仿宋_GB2312" w:hAnsi="仿宋_GB2312" w:eastAsia="仿宋_GB2312" w:cs="仿宋_GB2312"/>
                <w:i w:val="0"/>
                <w:iCs w:val="0"/>
                <w:snapToGrid w:val="0"/>
                <w:color w:val="000000"/>
                <w:kern w:val="0"/>
                <w:sz w:val="32"/>
                <w:szCs w:val="3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造型油松</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大叶女贞</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67</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广玉兰A</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220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乔木（死亡26棵，半死亡17棵）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广玉兰B</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37</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乔木（死亡26棵）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水杉A</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13</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水杉B</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28</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乔木（死亡15棵）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7</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白皮松</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235</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8</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香樟树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9</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银杏A</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17</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乔木（死亡1棵）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银杏B</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11</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黄山峦</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47</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12</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乌桕</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33</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乔木（实查34棵，半死亡2棵）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13</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国槐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39</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乔木（实查51棵）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14</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法桐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586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乔木（61棵死亡）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15</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漆树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16</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金桂A</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43</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乔木（实查47棵，其中2棵死亡，13棵半死亡）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17</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金桂B</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18</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中华石楠A</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19</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中华石楠B</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28</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乔木（2棵死亡）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枇杷</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37</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乔木（10棵死亡，10棵半死亡）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21</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美人梅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65</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乔木（死亡1棵）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22</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紫玉兰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70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乔木（死亡9棵）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23</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垂丝海棠</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38</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24</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山杏</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25</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紫叶李</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87</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26</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日本晚樱</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87</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乔木（死亡19棵）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27</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丛生果石榴</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28</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五角枫</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29</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鸡瓜槭</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丛生紫荆</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31</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丛生紫薇</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19</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32</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红叶石楠球A</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灌木（死亡3棵）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33</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红叶石楠球B</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35</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灌木（死亡2棵）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34</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红花继木球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灌木（死亡3棵）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35</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大叶黄杨球A</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65</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灌木（死亡4棵）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36</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大叶黄杨球B</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65</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灌木（死亡5棵）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37</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海桐球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灌木（死亡3棵）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38</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结香</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11</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39</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金森女贞球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灌木（死亡3棵）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淡竹</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270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41</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海桐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179</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42</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大叶黄杨</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1722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43</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金森女贞</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1464</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44</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金边黄杨</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1100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45</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瓜子黄杨</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804</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46</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红叶石楠</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4824</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47</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八角金盘</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2502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48</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南天竹</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639</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49</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红瑞木</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529</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桃叶珊瑚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1373</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栽植色带（死亡50m2）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51</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棣棠</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316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52</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连翘</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300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53</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麦冬</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m2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21000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绿化绿植</w:t>
            </w:r>
          </w:p>
        </w:tc>
      </w:tr>
    </w:tbl>
    <w:p>
      <w:pPr>
        <w:numPr>
          <w:ilvl w:val="0"/>
          <w:numId w:val="0"/>
        </w:numPr>
        <w:kinsoku w:val="0"/>
        <w:autoSpaceDE w:val="0"/>
        <w:autoSpaceDN w:val="0"/>
        <w:adjustRightInd w:val="0"/>
        <w:snapToGrid w:val="0"/>
        <w:spacing w:line="240" w:lineRule="auto"/>
        <w:jc w:val="left"/>
        <w:textAlignment w:val="baseline"/>
        <w:rPr>
          <w:rFonts w:hint="default" w:ascii="仿宋_GB2312" w:hAnsi="仿宋_GB2312" w:eastAsia="仿宋_GB2312" w:cs="仿宋_GB2312"/>
          <w:sz w:val="30"/>
          <w:szCs w:val="30"/>
          <w:lang w:val="en-US" w:eastAsia="zh-CN"/>
        </w:rPr>
      </w:pPr>
    </w:p>
    <w:p>
      <w:pPr>
        <w:numPr>
          <w:ilvl w:val="0"/>
          <w:numId w:val="0"/>
        </w:numPr>
        <w:spacing w:before="72"/>
        <w:ind w:leftChars="1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（四）瀍东停车场</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default" w:eastAsia="仿宋_GB2312" w:cs="Times New Roman"/>
          <w:snapToGrid w:val="0"/>
          <w:color w:val="000000"/>
          <w:spacing w:val="-1"/>
          <w:kern w:val="0"/>
          <w:sz w:val="32"/>
          <w:szCs w:val="32"/>
          <w:lang w:val="en-US" w:eastAsia="zh-CN" w:bidi="ar-SA"/>
        </w:rPr>
      </w:pPr>
      <w:r>
        <w:rPr>
          <w:rFonts w:hint="eastAsia" w:eastAsia="仿宋_GB2312" w:cs="Times New Roman"/>
          <w:snapToGrid w:val="0"/>
          <w:color w:val="000000"/>
          <w:spacing w:val="-1"/>
          <w:kern w:val="0"/>
          <w:sz w:val="32"/>
          <w:szCs w:val="32"/>
          <w:lang w:val="en-US" w:eastAsia="zh-CN" w:bidi="ar-SA"/>
        </w:rPr>
        <w:t>绿化养护点位及数量见下图、表</w:t>
      </w:r>
    </w:p>
    <w:p>
      <w:pPr>
        <w:pStyle w:val="2"/>
        <w:numPr>
          <w:ilvl w:val="0"/>
          <w:numId w:val="0"/>
        </w:numPr>
        <w:ind w:leftChars="100"/>
        <w:rPr>
          <w:rFonts w:hint="eastAsia"/>
          <w:lang w:val="en-US" w:eastAsia="zh-CN"/>
        </w:rPr>
      </w:pPr>
      <w:r>
        <w:rPr>
          <w:rFonts w:hint="eastAsia"/>
          <w:lang w:val="en-US" w:eastAsia="zh-CN"/>
        </w:rPr>
        <w:drawing>
          <wp:inline distT="0" distB="0" distL="114300" distR="114300">
            <wp:extent cx="6235065" cy="3120390"/>
            <wp:effectExtent l="0" t="0" r="13335" b="3810"/>
            <wp:docPr id="2" name="图片 2" descr="9edc832f81d5996baf6cfd29a8c0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edc832f81d5996baf6cfd29a8c091a"/>
                    <pic:cNvPicPr>
                      <a:picLocks noChangeAspect="1"/>
                    </pic:cNvPicPr>
                  </pic:nvPicPr>
                  <pic:blipFill>
                    <a:blip r:embed="rId13"/>
                    <a:stretch>
                      <a:fillRect/>
                    </a:stretch>
                  </pic:blipFill>
                  <pic:spPr>
                    <a:xfrm>
                      <a:off x="0" y="0"/>
                      <a:ext cx="6235065" cy="3120390"/>
                    </a:xfrm>
                    <a:prstGeom prst="rect">
                      <a:avLst/>
                    </a:prstGeom>
                  </pic:spPr>
                </pic:pic>
              </a:graphicData>
            </a:graphic>
          </wp:inline>
        </w:drawing>
      </w:r>
    </w:p>
    <w:p>
      <w:pPr>
        <w:pStyle w:val="2"/>
        <w:numPr>
          <w:ilvl w:val="0"/>
          <w:numId w:val="0"/>
        </w:numPr>
        <w:ind w:leftChars="100"/>
        <w:jc w:val="center"/>
        <w:rPr>
          <w:rFonts w:hint="default"/>
          <w:lang w:val="en-US" w:eastAsia="zh-CN"/>
        </w:rPr>
      </w:pPr>
      <w:r>
        <w:rPr>
          <w:rFonts w:hint="eastAsia"/>
          <w:lang w:val="en-US" w:eastAsia="zh-CN"/>
        </w:rPr>
        <w:t>图4-1瀍东综合楼绿化养护点位图</w:t>
      </w:r>
    </w:p>
    <w:p>
      <w:pPr>
        <w:pStyle w:val="2"/>
        <w:numPr>
          <w:ilvl w:val="0"/>
          <w:numId w:val="0"/>
        </w:numPr>
        <w:ind w:leftChars="100"/>
        <w:rPr>
          <w:rFonts w:hint="eastAsia"/>
          <w:lang w:val="en-US" w:eastAsia="zh-CN"/>
        </w:rPr>
      </w:pPr>
      <w:r>
        <w:rPr>
          <w:rFonts w:hint="eastAsia"/>
          <w:lang w:val="en-US" w:eastAsia="zh-CN"/>
        </w:rPr>
        <w:drawing>
          <wp:inline distT="0" distB="0" distL="114300" distR="114300">
            <wp:extent cx="6236335" cy="3497580"/>
            <wp:effectExtent l="0" t="0" r="12065" b="7620"/>
            <wp:docPr id="3" name="图片 3" descr="764e93197db0397761c6e808252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64e93197db0397761c6e8082525647"/>
                    <pic:cNvPicPr>
                      <a:picLocks noChangeAspect="1"/>
                    </pic:cNvPicPr>
                  </pic:nvPicPr>
                  <pic:blipFill>
                    <a:blip r:embed="rId14"/>
                    <a:stretch>
                      <a:fillRect/>
                    </a:stretch>
                  </pic:blipFill>
                  <pic:spPr>
                    <a:xfrm>
                      <a:off x="0" y="0"/>
                      <a:ext cx="6236335" cy="3497580"/>
                    </a:xfrm>
                    <a:prstGeom prst="rect">
                      <a:avLst/>
                    </a:prstGeom>
                  </pic:spPr>
                </pic:pic>
              </a:graphicData>
            </a:graphic>
          </wp:inline>
        </w:drawing>
      </w:r>
    </w:p>
    <w:p>
      <w:pPr>
        <w:pStyle w:val="2"/>
        <w:numPr>
          <w:ilvl w:val="0"/>
          <w:numId w:val="0"/>
        </w:numPr>
        <w:ind w:leftChars="100"/>
        <w:jc w:val="center"/>
        <w:rPr>
          <w:rFonts w:hint="default"/>
          <w:lang w:val="en-US" w:eastAsia="zh-CN"/>
        </w:rPr>
      </w:pPr>
      <w:r>
        <w:rPr>
          <w:rFonts w:hint="eastAsia"/>
          <w:lang w:val="en-US" w:eastAsia="zh-CN"/>
        </w:rPr>
        <w:t>图4-2瀍东综合楼东侧绿化养护点位图</w:t>
      </w:r>
    </w:p>
    <w:p>
      <w:pPr>
        <w:pStyle w:val="2"/>
        <w:numPr>
          <w:ilvl w:val="0"/>
          <w:numId w:val="0"/>
        </w:numPr>
        <w:ind w:leftChars="100"/>
        <w:rPr>
          <w:rFonts w:hint="eastAsia"/>
          <w:lang w:val="en-US" w:eastAsia="zh-CN"/>
        </w:rPr>
      </w:pPr>
      <w:r>
        <w:rPr>
          <w:rFonts w:hint="eastAsia"/>
          <w:lang w:val="en-US" w:eastAsia="zh-CN"/>
        </w:rPr>
        <w:drawing>
          <wp:inline distT="0" distB="0" distL="114300" distR="114300">
            <wp:extent cx="6236335" cy="2527935"/>
            <wp:effectExtent l="0" t="0" r="12065" b="5715"/>
            <wp:docPr id="5" name="图片 5" descr="40f1b9b66a7217523d7ab57a0b1b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0f1b9b66a7217523d7ab57a0b1b60f"/>
                    <pic:cNvPicPr>
                      <a:picLocks noChangeAspect="1"/>
                    </pic:cNvPicPr>
                  </pic:nvPicPr>
                  <pic:blipFill>
                    <a:blip r:embed="rId15"/>
                    <a:stretch>
                      <a:fillRect/>
                    </a:stretch>
                  </pic:blipFill>
                  <pic:spPr>
                    <a:xfrm>
                      <a:off x="0" y="0"/>
                      <a:ext cx="6236335" cy="2527935"/>
                    </a:xfrm>
                    <a:prstGeom prst="rect">
                      <a:avLst/>
                    </a:prstGeom>
                  </pic:spPr>
                </pic:pic>
              </a:graphicData>
            </a:graphic>
          </wp:inline>
        </w:drawing>
      </w:r>
    </w:p>
    <w:p>
      <w:pPr>
        <w:pStyle w:val="2"/>
        <w:numPr>
          <w:ilvl w:val="0"/>
          <w:numId w:val="0"/>
        </w:numPr>
        <w:ind w:leftChars="100"/>
        <w:jc w:val="center"/>
        <w:rPr>
          <w:rFonts w:hint="default"/>
          <w:lang w:val="en-US" w:eastAsia="zh-CN"/>
        </w:rPr>
      </w:pPr>
      <w:r>
        <w:rPr>
          <w:rFonts w:hint="eastAsia"/>
          <w:lang w:val="en-US" w:eastAsia="zh-CN"/>
        </w:rPr>
        <w:t>图4-3瀍东运用库绿化养护点位图</w:t>
      </w:r>
    </w:p>
    <w:p>
      <w:pPr>
        <w:pStyle w:val="2"/>
        <w:numPr>
          <w:ilvl w:val="0"/>
          <w:numId w:val="0"/>
        </w:numPr>
        <w:ind w:leftChars="100"/>
      </w:pPr>
      <w:r>
        <w:drawing>
          <wp:inline distT="0" distB="0" distL="114300" distR="114300">
            <wp:extent cx="6226810" cy="2703195"/>
            <wp:effectExtent l="0" t="0" r="2540"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6226810" cy="2703195"/>
                    </a:xfrm>
                    <a:prstGeom prst="rect">
                      <a:avLst/>
                    </a:prstGeom>
                    <a:noFill/>
                    <a:ln>
                      <a:noFill/>
                    </a:ln>
                  </pic:spPr>
                </pic:pic>
              </a:graphicData>
            </a:graphic>
          </wp:inline>
        </w:drawing>
      </w:r>
    </w:p>
    <w:p>
      <w:pPr>
        <w:pStyle w:val="2"/>
        <w:numPr>
          <w:ilvl w:val="0"/>
          <w:numId w:val="0"/>
        </w:numPr>
        <w:ind w:leftChars="100"/>
        <w:jc w:val="center"/>
        <w:rPr>
          <w:rFonts w:hint="default"/>
          <w:lang w:val="en-US" w:eastAsia="zh-CN"/>
        </w:rPr>
      </w:pPr>
      <w:r>
        <w:rPr>
          <w:rFonts w:hint="eastAsia"/>
          <w:lang w:val="en-US" w:eastAsia="zh-CN"/>
        </w:rPr>
        <w:t>图4-4瀍东公安楼、出入道路绿化养护点位图</w:t>
      </w:r>
    </w:p>
    <w:p>
      <w:pPr>
        <w:pStyle w:val="2"/>
        <w:numPr>
          <w:ilvl w:val="0"/>
          <w:numId w:val="0"/>
        </w:numPr>
        <w:ind w:leftChars="100"/>
        <w:rPr>
          <w:rFonts w:hint="eastAsia"/>
          <w:lang w:val="en-US" w:eastAsia="zh-CN"/>
        </w:rPr>
      </w:pPr>
    </w:p>
    <w:tbl>
      <w:tblPr>
        <w:tblStyle w:val="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6"/>
        <w:gridCol w:w="2481"/>
        <w:gridCol w:w="907"/>
        <w:gridCol w:w="1455"/>
        <w:gridCol w:w="1470"/>
        <w:gridCol w:w="27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94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48"/>
                <w:szCs w:val="48"/>
                <w:u w:val="none"/>
              </w:rPr>
            </w:pPr>
            <w:r>
              <w:rPr>
                <w:rFonts w:hint="eastAsia" w:ascii="Times New Roman" w:hAnsi="Times New Roman" w:eastAsia="仿宋_GB2312" w:cs="Times New Roman"/>
                <w:sz w:val="32"/>
                <w:szCs w:val="32"/>
                <w:lang w:val="en-US" w:eastAsia="zh-CN"/>
              </w:rPr>
              <w:t>瀍东停车场绿化清单（洛阳市公安局轨道交通分局，地铁杨湾站东3公里）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序号</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名称</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单位</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数量</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状态描述</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樱花</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白皮松</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19</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广玉兰</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8</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乔木成活（7棵，死1棵）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玉兰</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28</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乔木（成活18棵，死10棵）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木瓜海棠</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乔木（成活19棵，死1棵）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风景松</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7</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枇杷</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8</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银杏</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11</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乔木（成活10棵，死1棵）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9</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石榴</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10</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五角枫</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11</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鸡瓜槭</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9</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12</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黄杨球</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13</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山杏</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乔木（成活5棵，死1棵）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14</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重阳木</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15</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中花石楠</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38</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乔木（成活33棵，死5棵）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16</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桂花</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7</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乔木（成活6棵，死1棵）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17</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金叶女贞</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18</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紫叶李</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7</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19</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香樟树</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法桐</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337</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乔木（成活332棵，死5棵）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21</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红花继木球</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8</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灌木（绿篱）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22</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红叶石楠球</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株</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36</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灌木（绿篱）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23</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海桐</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175.6</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24</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大叶黄杨</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165.9</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25</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金森女贞</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325.8</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26</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金边黄杨</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195</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27</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瓜子黄杨</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106</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28</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红叶石楠球</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985.6</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29</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红瑞木</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208.1</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30</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麦冬</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1958.5</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31</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混播草</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785.6</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成活</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72"/>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栽植色带</w:t>
            </w:r>
          </w:p>
        </w:tc>
      </w:tr>
    </w:tbl>
    <w:p>
      <w:pPr>
        <w:spacing w:before="72"/>
        <w:rPr>
          <w:rFonts w:hint="eastAsia" w:ascii="Times New Roman" w:hAnsi="Times New Roman" w:eastAsia="仿宋_GB2312" w:cs="Times New Roman"/>
          <w:sz w:val="32"/>
          <w:szCs w:val="32"/>
          <w:lang w:val="en-US" w:eastAsia="zh-CN"/>
        </w:rPr>
      </w:pPr>
    </w:p>
    <w:p>
      <w:pPr>
        <w:pStyle w:val="7"/>
        <w:keepNext w:val="0"/>
        <w:keepLines w:val="0"/>
        <w:pageBreakBefore w:val="0"/>
        <w:widowControl/>
        <w:kinsoku w:val="0"/>
        <w:wordWrap/>
        <w:overflowPunct/>
        <w:topLinePunct w:val="0"/>
        <w:autoSpaceDE w:val="0"/>
        <w:autoSpaceDN w:val="0"/>
        <w:bidi w:val="0"/>
        <w:adjustRightInd w:val="0"/>
        <w:snapToGrid w:val="0"/>
        <w:spacing w:before="160" w:line="600" w:lineRule="exact"/>
        <w:textAlignment w:val="baseline"/>
        <w:rPr>
          <w:rFonts w:hint="eastAsia" w:ascii="黑体" w:hAnsi="黑体" w:eastAsia="黑体" w:cs="黑体"/>
          <w:sz w:val="32"/>
          <w:szCs w:val="32"/>
        </w:rPr>
      </w:pPr>
      <w:r>
        <w:rPr>
          <w:rFonts w:hint="eastAsia" w:ascii="黑体" w:hAnsi="黑体" w:eastAsia="黑体" w:cs="黑体"/>
          <w:spacing w:val="5"/>
          <w:sz w:val="32"/>
          <w:szCs w:val="32"/>
          <w14:textOutline w14:w="5170" w14:cap="flat" w14:cmpd="sng">
            <w14:solidFill>
              <w14:srgbClr w14:val="000000"/>
            </w14:solidFill>
            <w14:prstDash w14:val="solid"/>
            <w14:miter w14:val="0"/>
          </w14:textOutline>
        </w:rPr>
        <w:t>三、服务要求</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（一）日常养护</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ind w:firstLine="640" w:firstLineChars="200"/>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绿篱每月修剪不低于 1 次， 草皮旺季每月修剪不低于 3 次，淡季每月修剪不低于 1 次；草皮、绿篱旺季每周浇水不低于 2 次；苗木冲洗每月 1 次；草皮、乔木每年施肥不低于 2 次，花灌木每年施肥不低于 1 次；每季度病虫害防治不低于 1 次；每年春季和秋季需开展补植补栽各 1 次，确保苗木成活率达到 100%。</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（二）人员配置</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ind w:firstLine="640" w:firstLineChars="200"/>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本次养护主要内容包含洛阳轨道交通控制中心、刘富村车辆段、红山车辆段、瀍东停车场、龙门枢纽，人员配置需满足修剪、养护等相关工作。</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（三）器械配置</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ind w:firstLine="640" w:firstLineChars="200"/>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参照市绿化管理中心养护标准，大平剪、锄头、铁锨等基础工具人手 1 把；绿篱机不少于10把； 高枝剪不少于 10把； 推草机不得少于5 台； 垃圾处理设备不少于 1 台；铺设浇水管道，若管道无法覆盖的区域，增加洒水车进行浇水。。  </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（四）管护标准</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ind w:firstLine="320" w:firstLineChars="100"/>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1.植物养护</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ind w:firstLine="320" w:firstLineChars="100"/>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1.1行道树</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（1）树干挺直，树冠丰满，遮荫效果好。下缘线一致，分枝点高度基本保持统一；生长势强，枝叶繁茂，无枯枝，生长期无非正常落叶现象。</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（2）树穴规格统一，深浅适中，覆盖材料完整，地被整齐一致，无杂草，无黄土裸露。</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（3）种植 5 年内行道树根据季节及时浇水，超过 5 年行道树根据苗木旱象适时浇水。</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（4）树干萌芽、枯枝及时清理，下垂枝定期清理； 休眠季节整形修剪，在树冠培养期（3~5 年内） 1 年 1 次，成形后 3～5 年 1 次。</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（5）树冠枝条干枯一半以内的及时采取抢救措施，超过一半失去观赏价值的及时清理。非种植季节可先平整树穴后规范覆盖，种植季节应尽快补植， 补植苗规格尽量和整条路保持一致。客观条件不能再补植的需上报，经批准后按标准硬化树穴，严禁私自硬化。</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ind w:firstLine="320" w:firstLineChars="100"/>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1.2乔木</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（1）密度适宜，冠形优美，骨架完备，花繁叶茂，林冠线起伏有序，林缘线清晰。</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（2）修剪新植树以整形培养树冠为主，树冠成形后以平衡树势为主，衰老后以更新复壮为主。整形修剪每年不低于 1 次，时间恰当，轻重适宜，疏截得当。生长期抹芽及时彻底，留芽合理。</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（3）根据季节和生长情况适时浇灌、施肥。开花植物每年施肥不低于 2 次，其中有机肥不少于 1 次，方法科学，无缺施，无肥害。</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ind w:firstLine="320" w:firstLineChars="100"/>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1.3灌木</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（1）密度适宜，树形优美，枝条分布匀称、 数量合理，体量符合景观设计要求，与乔木、绿篱和地被搭配合理，层次分明；生长势强。叶色正常有光泽，开花树种花繁色艳。</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（2）修剪科学合理，适时适度。整形修剪每年不少于 1 次，春花植物花后进行，夏花植物 冬季进行，多季开花植物及时修剪残花，促进再次开花；生长期间芽及时、留芽合理，影响树势、树形的萌条、残花、种荚及时去除。</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（3）根据季节和生长情况适时浇灌、施肥。开花植物每年施肥不低于 2 次，多次开花植物不低于 3 次，其中有机肥不少于 1 次，方法科学，无缺施，无肥害。</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1.4藤本植物</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（1）形态优美，枝条分布均匀，疏密得当，无明显枯死枝；生长健壮，上架迅速，藤繁叶茂，叶色正常，开花品种花繁色艳。</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（2）及时拉蔓上架，补充空间，快速达到满架效果；满架后每年休眠季节理藤 1 次，藤蔓 分布均匀，主侧蔓无相互缠绕现象，内部无枯枝层；生长季节及时剪除徒长枝、下垂枝、过密枝、枯枝。藤本月季冬季短截细致，根茎部萌条利用恰当，花后去残花及时，促进多次开花。</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（3）根据季节和生长情况适时浇灌、施肥。开花植物每年施肥不低于 2 次，多次开花植物不低于 3 次，其中有机肥不少于 1 次，方法科学，无缺施，无肥害。</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1.5整形植物</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（1）绿篱色块植物</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①枝叶茂密，叶色鲜亮， 线条流畅、美观，密度适宜，无缺株断垄。平面式三面平整，高度一致；曲线式线条平滑流畅、变化自然。</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②高度要和景观功能要求一致，与主体树种比例适当；坛头安全视距范围内高度要控制在 70cm 以内，不同品种、不同高度之间层次分明，界限要清晰。</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③修剪及时、细致。新梢平均长度达到 8cm 即要整形修剪，日常超过 10cm 的旺梢及时用大平剪打梢；修剪不能长期在同一高度，每次要保留 0.5-1cm 新梢，过高时可重压更新复壮；春秋梢变色的品种，新梢萌发后只能轻剪，整形修剪可在春、秋梢萌芽前及春梢变绿后进行。</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④根据植物习性、季节、立地条件及时进行灌溉和拔草，无杂草和杂木。</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⑤每年根据植物长势合理施肥。</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（2）造型植物</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①枝叶茂密，形体美观，轮廓清晰，表面平滑，不露枝干、捆扎物。</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②形状要满足景观要求，符合大众审美，风格要与主题一致，体量要与环境协调。几何造型行列种植的要形状统一，模式有规律， 组团种植的体量对比明显； 云片造型的云片形状要自然优美，云片大小、数量适宜，符合景观要求。</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③修剪要精细，时机要恰当，重要节点要增加修剪次数。</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④根据植物习性、季节、立地条件进行灌溉。松柏类造型要适度控制浇水。</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⑤每年根据植物长势合理施肥。</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1.6地被植物</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（1）草本花卉</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①配置合理，色彩明快，疏密适宜，无杂草。花境配置各品种组团紧凑有序，边沿界限清晰，不同种类无混杂现象（缀化草坪、草花组合除外）。</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②生长健壮，整齐一致，叶色正常，无黄叶、干梢、焦叶；花期适宜，花大色艳，观赏期长，品质优良。</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③适度打梢增加花量，控制高度，枯枝残花修剪精细，采种及时；地上部分枯萎后及时清理。</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④一或二年生花卉每年适时播种， 球根花卉每年冬藏后重新分栽， 宿根花卉 3～5 年重新翻栽。花卉发芽后，根据疏密程度进行剔密补稀，使整体密度一致。</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⑤根据天气情况和花卉习性进行灌溉。合理选择施肥种类和施肥次数， 无缺施、无肥害。</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（2）木本地被</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①生长健壮迅速，高度适宜，覆盖效果好。</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②边沿要界限清晰，无伸出绿地或者交互蔓延现象。半匍匐的种类要定期打理，保持高度相对一致。</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③及时清理杂草和杂木。</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④根据天气情况和习性进行灌溉，合理选择施肥种类和施肥次数，无缺施、无肥害。</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（3）草坪</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①成坪高度保持在 10cm 以内，地势平整，无坑洼积水，无明显凸起。</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②生长旺盛，生长期叶色正常，无黄叶，无明显秃斑。</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③定期打孔、疏草，稀疏地方要进行补播。分蘖、蔓延性强的种类春末夏初要进行垂直刈割，防止草坪凸起。</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④适时适度修剪。修剪后无残留草屑，无漏草；与侧石、绿篱结合部位应切边，分界明显。</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⑤无过高杂草，杂草率控制在 5%以内。</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⑥根据天气情况和草坪习性适时进行灌溉，无失水萎蔫现象；每年施肥不少于 2 次，施肥种类适宜，无漏施、无肥害。</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（4）观赏草</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①生长健壮， 株型紧凑，花序正常。成片种植的整齐一致，整体效果好； 多品种搭配的，要高度错落有致。</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②适时分株防止根系拥挤影响生长；可自播繁殖或者地下根系蔓延生长迅速的种要控制长势，保持合理密度和面积。</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③新种草加强养护管理，尽快成形；成形草可粗放管理，防止过高倒伏。</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④冬季保护好花序和枯草，遇雪倒伏失去观赏价值时进行平茬修剪，没有倒伏的在早春发芽前进行。留茬高度适宜，不伤根蘖新芽。</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1.7竹类</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（1）生长健壮，无枯黄枝叶；竹林密度适中，分布均匀，通风透光，干净整洁。</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（2）不同品种竹之间要进行品种隔离。</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（3）及时清理老竹、弱竹、断竹、倒伏竹、开花竹、超出景观范围竹和枯死竹蔸；每 3 年间竹一次，起到断鞭更新作用。</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（4）土壤基本疏松、湿润，浇足返青水、催笋水、拔节水和孕笋水。及时拔草。</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1.8水生植物</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（1）叶色正常，开花繁盛，片植密度适中，分布均匀，基本无杂草。</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（2）应控制水生植物的景观范围，清理超出范围的植株；同一水景中混种的，应保持主栽种优势，控制繁殖过快的种类。</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（3）盆栽植物应定期进行换土施肥。易受冻害的盆栽水生植物冬季应采取防寒措施。</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（4）应根据植物种类及时灌水、排水，保持正常水位。</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（5）水生植物枯败后及时去除枯枝残叶。</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2.病虫害防治</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2.1坚持“预防为主、科学防控，依法治理、促进健康”的植保方针，制定科学的病虫害防治方案。</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2.2做好病虫害调查、防治工作。及时观察病虫害发展情况，详实记录生活史、防治效果；发现病虫害发生及时上报、防治。</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2.3重视清源工作。及时清理带病虫的枝叶、杂草，消灭病源、虫源；冬季做好越冬菌、虫、卵消杀工作。</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2.4提倡生物防治、物理防治，保护利用天敌；化学防治避开天敌活动高发期， 用药合理、配比科学，标靶准确，防治及时，效果好。</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2.5打药操作人员穿戴好防护装备，保证行人、游客和设施的安全。要提前提醒行人、游客躲避，注意避让设施，过路口时要暂停喷药，施药后操作员清洗及时彻底。花期喷药注意保护花朵。</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2.6植保专员做好农药出入库登记、使用监督和农药包装物回收工作。</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（五）设施管理</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1.绿化给水</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（1）自备井。水泵使用正常，配电控制设备箱内安装。</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（2）自来水水表井。水表前阀门不经常开关，水表后阀门使用正常，阀门无漏水现象；井盖完好，无破损。</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（3）管道。管道使用正常，无跑、冒、滴、漏现象。</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（4）阀门。阀门使用正常，无跑、冒、滴、漏现象。</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（5）阀门井。阀门井整体完整，井盖完好，无破损。</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2.绿化护栏、花池</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（1）绿化护栏。护栏安装整齐，无损坏、缺失。</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（2）花池。花池安装整齐，无损坏、缺失。</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3.景观小品</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景观小品摆放有序，外观完好，无破损。</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4.其他附属设施</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其他附属设施外观完好，无破损。</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（六）环境卫生</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1.绿地保持清洁，清除影响景观的杂物、树挂、漂浮物、干枯枝叶、私搭乱建、乱贴乱画、无用树体包扎物等；设施表面要保持干净整洁，陈设物品要摆放有序。</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2.主干道要定期冲洗植物和设施表面浮尘，保持叶面干净，设施整洁。</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3.收集的枝叶、垃圾、杂物应及时清运，箩筐等器具摆放在隐蔽的地方，垃圾做到日产日清，不过夜，严禁焚烧和随意倾倒，可二次利用的分类送往指定地点。</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（七）土壤地貌</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1.绿地内地面无明显凹陷和凸起处，微地形起伏自然，与平面衔接顺畅。</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2.绿地与硬化路面接壤处，应低于侧石（硬化路面），保证浇水或者下雨时无水土溢流污染路面。</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3.树穴定期进行整理，要大小适宜。行列种植的要大小一致，形式既满足养护需求，又符合景观要求；地被高度低于 20cm 的尽量采取下沉式树穴；对水分无特殊需求的，可考虑不留树穴；空树穴及时回填平整，并补上同样地被。</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4.地埂定期进行整理，要高低适宜，表面平滑，既方便灌溉又美观；无灌溉需求的，可取消地埂。</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5.土壤疏松肥沃，符合植物健康生长要求。地下垃圾土、三七灰土、pH 值不适合土等要进行改良，满足生长要求。</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（八）安全管理</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1.道路安全</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（1）道路树木无安全隐患。断枝、枯枝及时清理，行道树枝条不妨碍行人、车辆通过，不遮挡信号灯、路灯、路牌等设施，与建筑物和架空线保持安全距离，需要修剪的定期进行。</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（2）靠近路口植物不遮挡通行者视线，安全视距范围内植物高度控制在 0.7m 以下。</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2.设施安全</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（1）保持绿地内各种设施、设备运行良好，无安全隐患，警示标志醒目、规范、美观、完</w:t>
      </w:r>
      <w:bookmarkStart w:id="0" w:name="bookmark5"/>
      <w:bookmarkEnd w:id="0"/>
      <w:r>
        <w:rPr>
          <w:rFonts w:hint="eastAsia" w:ascii="Times New Roman" w:hAnsi="Times New Roman" w:eastAsia="仿宋_GB2312" w:cs="Times New Roman"/>
          <w:sz w:val="32"/>
          <w:szCs w:val="32"/>
          <w:lang w:val="en-US" w:eastAsia="zh-CN"/>
        </w:rPr>
        <w:t>备。</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（2）生产用油随用随购，尽量减少储备油量；油桶检查及时，密封完好，登记规范；机械仓库严禁吸烟，定期通风。</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3.操作安全</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（1）高空作业时要设立路障和安全警示标志，封闭工作区域，清理场地内车辆，保护公共设施；作业职工要戴安全帽，高空作业者要配安全带。</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（2）人员作业时要穿警示服装，非作业车辆不得占用车道影响交通。</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（3）作业车辆停放车道时，要开警示灯，安全距离界限处摆放警示标志；倒车时要安排专人留意后方行人、设施安全；车上有作业人员时要注意保护安全。</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（4）使用园林机械作业时，要互相保持安全距离，按照操作规程规范作业。要提前清理石 块、铁丝等物，防止损伤机械；车道旁作业时要摆放安全锥等警示设施，圈定安全工作范围，保护自己和行人安全。</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（九）应急处理</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1.按照项目要求配合做好各类检查活动期间相关养护工作，尤其是重大活动的迎检任务，迎检期间要增加人力、保洁次数和延长保洁时间等以达到检查质量要求， 迎检期间需积极配合人员调配。</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2.对发生人为砍伐、偷盗、毁坏花草树木等行为要采取相应措施及时处理，并向项目上报。</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3.要有切实可行的应急抢险预案、应急设备，并成立应急抢险小组。</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4.做好防风工作，大风前加强防范措施，合理修剪，加固护树设施，以增强抗风能力；大风吹袭期间，迅速清理倒掉的断枝，疏通道路；风后及时进行扶树、护树，清除断枝、落叶和垃圾，使绿化景观尽快恢复； 树坑定期修边，除杂草、松土，做到树穴界线清楚，树穴内无</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明显碍眼杂草。</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5.暴风雨来临前，应检查新植树木支撑情况，保证稳固；暴风雨后，及时检查植物损伤情况，扶正倾倒树、清除断枝、排放积水、平整塌陷区域。</w:t>
      </w:r>
    </w:p>
    <w:p>
      <w:pPr>
        <w:keepNext w:val="0"/>
        <w:keepLines w:val="0"/>
        <w:pageBreakBefore w:val="0"/>
        <w:widowControl/>
        <w:kinsoku w:val="0"/>
        <w:wordWrap/>
        <w:overflowPunct/>
        <w:topLinePunct w:val="0"/>
        <w:autoSpaceDE w:val="0"/>
        <w:autoSpaceDN w:val="0"/>
        <w:bidi w:val="0"/>
        <w:adjustRightInd w:val="0"/>
        <w:snapToGrid w:val="0"/>
        <w:spacing w:before="72" w:line="600" w:lineRule="exact"/>
        <w:textAlignment w:val="baseline"/>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6.大雪时及时检查常绿植物受压情况，摇晃积雪，减少断枝可能；雪后及时清扫广场、园路，清理绿篱、常绿乔灌木上积雪，巡查制止融雪剂污染的积雪倾倒绿地内行为。</w:t>
      </w:r>
    </w:p>
    <w:p>
      <w:pPr>
        <w:pStyle w:val="2"/>
        <w:ind w:left="0" w:leftChars="0" w:firstLine="0" w:firstLineChars="0"/>
        <w:rPr>
          <w:rFonts w:hint="default"/>
          <w:lang w:val="en-US" w:eastAsia="zh-CN"/>
        </w:rPr>
      </w:pPr>
    </w:p>
    <w:sectPr>
      <w:headerReference r:id="rId3" w:type="default"/>
      <w:pgSz w:w="11910" w:h="16845"/>
      <w:pgMar w:top="1155" w:right="1035" w:bottom="1173" w:left="1051" w:header="855" w:footer="99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70" w:lineRule="exact"/>
      <w:ind w:firstLine="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45F330"/>
    <w:multiLevelType w:val="singleLevel"/>
    <w:tmpl w:val="8C45F330"/>
    <w:lvl w:ilvl="0" w:tentative="0">
      <w:start w:val="2"/>
      <w:numFmt w:val="chineseCounting"/>
      <w:suff w:val="nothing"/>
      <w:lvlText w:val="%1、"/>
      <w:lvlJc w:val="left"/>
      <w:rPr>
        <w:rFonts w:hint="eastAsia"/>
      </w:rPr>
    </w:lvl>
  </w:abstractNum>
  <w:abstractNum w:abstractNumId="1">
    <w:nsid w:val="AAFB120A"/>
    <w:multiLevelType w:val="singleLevel"/>
    <w:tmpl w:val="AAFB120A"/>
    <w:lvl w:ilvl="0" w:tentative="0">
      <w:start w:val="6"/>
      <w:numFmt w:val="chineseCounting"/>
      <w:suff w:val="nothing"/>
      <w:lvlText w:val="%1、"/>
      <w:lvlJc w:val="left"/>
      <w:rPr>
        <w:rFonts w:hint="eastAsia"/>
      </w:rPr>
    </w:lvl>
  </w:abstractNum>
  <w:abstractNum w:abstractNumId="2">
    <w:nsid w:val="BDA608B3"/>
    <w:multiLevelType w:val="singleLevel"/>
    <w:tmpl w:val="BDA608B3"/>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kZmYzN2VkYWU2ZjIxM2EyZmUzYzAwMGJiYWRlN2QifQ=="/>
    <w:docVar w:name="KSO_WPS_MARK_KEY" w:val="1228bc66-1fa9-4e86-a1e1-f50562b1ea0f"/>
  </w:docVars>
  <w:rsids>
    <w:rsidRoot w:val="2B063AF7"/>
    <w:rsid w:val="00FD6A5E"/>
    <w:rsid w:val="09CC00DA"/>
    <w:rsid w:val="1C81369C"/>
    <w:rsid w:val="1D930F23"/>
    <w:rsid w:val="21CB3A65"/>
    <w:rsid w:val="2B063AF7"/>
    <w:rsid w:val="37B169E5"/>
    <w:rsid w:val="446F4C3F"/>
    <w:rsid w:val="501A0282"/>
    <w:rsid w:val="5085785D"/>
    <w:rsid w:val="55FE461F"/>
    <w:rsid w:val="576D05AF"/>
    <w:rsid w:val="5EF305E1"/>
    <w:rsid w:val="69C40308"/>
    <w:rsid w:val="6BE154F3"/>
    <w:rsid w:val="703F4B3A"/>
    <w:rsid w:val="7D971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9"/>
    <w:pPr>
      <w:jc w:val="center"/>
      <w:outlineLvl w:val="0"/>
    </w:pPr>
    <w:rPr>
      <w:rFonts w:ascii="黑体" w:hAnsi="黑体" w:eastAsia="黑体" w:cs="黑体"/>
      <w:sz w:val="44"/>
      <w:szCs w:val="44"/>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spacing w:after="200"/>
      <w:ind w:left="0" w:leftChars="0" w:firstLine="420" w:firstLineChars="200"/>
    </w:pPr>
    <w:rPr>
      <w:rFonts w:hint="eastAsia" w:ascii="Times New Roman" w:hAnsi="Times New Roman" w:eastAsia="楷体_GB2312" w:cs="Times New Roman"/>
      <w:sz w:val="32"/>
    </w:rPr>
  </w:style>
  <w:style w:type="paragraph" w:styleId="3">
    <w:name w:val="Body Text Indent"/>
    <w:basedOn w:val="1"/>
    <w:qFormat/>
    <w:uiPriority w:val="0"/>
    <w:pPr>
      <w:spacing w:after="120" w:afterLines="0" w:afterAutospacing="0"/>
      <w:ind w:left="420" w:leftChars="200"/>
    </w:pPr>
  </w:style>
  <w:style w:type="paragraph" w:styleId="5">
    <w:name w:val="Normal Indent"/>
    <w:basedOn w:val="1"/>
    <w:next w:val="6"/>
    <w:qFormat/>
    <w:uiPriority w:val="0"/>
    <w:pPr>
      <w:ind w:firstLine="420"/>
    </w:pPr>
    <w:rPr>
      <w:sz w:val="28"/>
      <w:szCs w:val="28"/>
    </w:rPr>
  </w:style>
  <w:style w:type="paragraph" w:styleId="6">
    <w:name w:val="Plain Text"/>
    <w:basedOn w:val="1"/>
    <w:qFormat/>
    <w:uiPriority w:val="0"/>
    <w:rPr>
      <w:rFonts w:eastAsia="Courier New"/>
      <w:sz w:val="20"/>
      <w:szCs w:val="20"/>
    </w:rPr>
  </w:style>
  <w:style w:type="paragraph" w:styleId="7">
    <w:name w:val="Body Text"/>
    <w:basedOn w:val="1"/>
    <w:semiHidden/>
    <w:qFormat/>
    <w:uiPriority w:val="0"/>
    <w:rPr>
      <w:rFonts w:ascii="仿宋" w:hAnsi="仿宋" w:eastAsia="仿宋" w:cs="仿宋"/>
      <w:sz w:val="30"/>
      <w:szCs w:val="30"/>
      <w:lang w:val="en-US" w:eastAsia="en-US" w:bidi="ar-SA"/>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8071</Words>
  <Characters>8685</Characters>
  <Lines>0</Lines>
  <Paragraphs>0</Paragraphs>
  <TotalTime>85</TotalTime>
  <ScaleCrop>false</ScaleCrop>
  <LinksUpToDate>false</LinksUpToDate>
  <CharactersWithSpaces>8826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2024-07-18T02:40:00Z</dcterms:created>
  <dc:creator>张爱丽</dc:creator>
  <cp:lastModifiedBy>孙海瑜</cp:lastModifiedBy>
  <dcterms:modified xsi:type="dcterms:W3CDTF">2024-07-29T03:39:39Z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47864039F7A24F98AF0A990318D24928</vt:lpwstr>
  </property>
</Properties>
</file>