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洛阳市轨道交通集团有限责任公司运营分公司2024年办公家具、设备补充采购项目-评审办法</w:t>
      </w:r>
    </w:p>
    <w:tbl>
      <w:tblPr>
        <w:tblStyle w:val="3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69"/>
        <w:gridCol w:w="1311"/>
        <w:gridCol w:w="1539"/>
        <w:gridCol w:w="898"/>
        <w:gridCol w:w="3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3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</w:t>
            </w:r>
          </w:p>
        </w:tc>
        <w:tc>
          <w:tcPr>
            <w:tcW w:w="891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评审方法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成交候选人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排序方法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spacing w:line="276" w:lineRule="auto"/>
              <w:ind w:right="110" w:rightChars="50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按照本评审办法“2.1.1、2.1.2、2.1.3”所列初步评审通过的，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报价低的优先；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报价也相等的，以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抽签的方式，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由采购人确定成交候选人顺序。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342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2.1.1</w:t>
            </w:r>
          </w:p>
        </w:tc>
        <w:tc>
          <w:tcPr>
            <w:tcW w:w="891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形式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响应人名称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spacing w:line="276" w:lineRule="auto"/>
              <w:ind w:left="1" w:right="110" w:rightChars="50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与营业执照副本或事业单位法人证书一致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报价唯一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只能有一个有效报价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最高限价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最高限价：1.95万元（含税）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342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2.1.2</w:t>
            </w:r>
          </w:p>
        </w:tc>
        <w:tc>
          <w:tcPr>
            <w:tcW w:w="891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资格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pStyle w:val="5"/>
              <w:ind w:right="180" w:hanging="6"/>
              <w:jc w:val="center"/>
              <w:rPr>
                <w:rFonts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spacing w:val="-2"/>
                <w:sz w:val="21"/>
                <w:szCs w:val="21"/>
                <w:highlight w:val="none"/>
                <w:lang w:eastAsia="zh-CN"/>
              </w:rPr>
              <w:t>响应人资格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pStyle w:val="5"/>
              <w:ind w:left="2" w:right="99"/>
              <w:rPr>
                <w:rFonts w:hint="default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响应人资格要求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eastAsia="宋体" w:cs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highlight w:val="none"/>
              </w:rPr>
              <w:t>联合体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询比申请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pStyle w:val="5"/>
              <w:spacing w:line="400" w:lineRule="exact"/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响应人资格要求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342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2.1.3</w:t>
            </w:r>
          </w:p>
        </w:tc>
        <w:tc>
          <w:tcPr>
            <w:tcW w:w="891" w:type="pct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响应性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评审标准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响应内容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本公告“项目概况与采购内容”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服务期限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本公告“项目概况与采购内容”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交货地点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本公告“项目概况与采购内容”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342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91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质量保证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符合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本公告“项目概况与采购内容”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条款内容</w:t>
            </w:r>
          </w:p>
        </w:tc>
        <w:tc>
          <w:tcPr>
            <w:tcW w:w="2840" w:type="pct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编列内容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2.2.1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分值构成</w:t>
            </w:r>
          </w:p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（总分100分）</w:t>
            </w:r>
          </w:p>
        </w:tc>
        <w:tc>
          <w:tcPr>
            <w:tcW w:w="2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响应报价100分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</w:trPr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2.2.2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评审基准价</w:t>
            </w:r>
          </w:p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计算方法</w:t>
            </w:r>
          </w:p>
        </w:tc>
        <w:tc>
          <w:tcPr>
            <w:tcW w:w="2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价格分采用低价优先法计算，即满足采购文件要求且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报价价格最低的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报价为评审基准价，其价格分为满分。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2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标准分</w:t>
            </w:r>
          </w:p>
        </w:tc>
        <w:tc>
          <w:tcPr>
            <w:tcW w:w="23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评分标准</w:t>
            </w:r>
            <w:r>
              <w:rPr>
                <w:rFonts w:hint="eastAsia"/>
                <w:b/>
                <w:sz w:val="21"/>
                <w:szCs w:val="21"/>
                <w:highlight w:val="none"/>
                <w:lang w:eastAsia="zh-CN"/>
              </w:rPr>
              <w:t>（得分m）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444" w:type="pct"/>
            <w:gridSpan w:val="2"/>
            <w:noWrap w:val="0"/>
            <w:vAlign w:val="center"/>
          </w:tcPr>
          <w:p>
            <w:pPr>
              <w:adjustRightInd w:val="0"/>
              <w:spacing w:before="156" w:after="156" w:line="276" w:lineRule="auto"/>
              <w:jc w:val="center"/>
              <w:textAlignment w:val="baseline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2.2.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询比申请报价</w:t>
            </w:r>
            <w:r>
              <w:rPr>
                <w:sz w:val="21"/>
                <w:szCs w:val="21"/>
                <w:highlight w:val="none"/>
                <w:lang w:eastAsia="zh-CN"/>
              </w:rPr>
              <w:t>评分标准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0分）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报价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300" w:type="pct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价格分采用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总价（不含税）比价、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低价优先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法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计算。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满足采购要求且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在所有供应商中所列分项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之和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最低的为评审基准价，其价格分为满分。其他供应商的价格分统一按照下列公式计算：报价得分=(评审基准价／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报价)×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29200"/>
    <w:multiLevelType w:val="singleLevel"/>
    <w:tmpl w:val="00E292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04F25045"/>
    <w:rsid w:val="23137AD3"/>
    <w:rsid w:val="3BDB149A"/>
    <w:rsid w:val="4E32106F"/>
    <w:rsid w:val="61353F09"/>
    <w:rsid w:val="63A24E5E"/>
    <w:rsid w:val="6D45772E"/>
    <w:rsid w:val="6FA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602</Characters>
  <Lines>0</Lines>
  <Paragraphs>0</Paragraphs>
  <TotalTime>20</TotalTime>
  <ScaleCrop>false</ScaleCrop>
  <LinksUpToDate>false</LinksUpToDate>
  <CharactersWithSpaces>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2024-04-07T02:08:00Z</dcterms:created>
  <dc:creator>admin</dc:creator>
  <cp:lastModifiedBy>18538896706</cp:lastModifiedBy>
  <dcterms:modified xsi:type="dcterms:W3CDTF">2024-06-21T00:36:19Z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8960E90FCBA34AC0935AE2B116D925B5_12</vt:lpwstr>
  </property>
</Properties>
</file>